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54" w:rsidRDefault="002E2E54" w:rsidP="007F0D92">
      <w:pPr>
        <w:pStyle w:val="Default"/>
      </w:pPr>
      <w:bookmarkStart w:id="0" w:name="_GoBack"/>
      <w:bookmarkEnd w:id="0"/>
    </w:p>
    <w:p w:rsidR="002E2E54" w:rsidRDefault="009C3DE2" w:rsidP="00B5156D">
      <w:pPr>
        <w:pStyle w:val="Default"/>
        <w:jc w:val="right"/>
        <w:rPr>
          <w:b/>
          <w:bCs/>
          <w:sz w:val="22"/>
          <w:szCs w:val="22"/>
        </w:rPr>
      </w:pPr>
      <w:r>
        <w:rPr>
          <w:b/>
          <w:noProof/>
          <w:sz w:val="22"/>
          <w:szCs w:val="22"/>
        </w:rPr>
        <w:drawing>
          <wp:inline distT="0" distB="0" distL="0" distR="0">
            <wp:extent cx="1147445" cy="793750"/>
            <wp:effectExtent l="0" t="0" r="0" b="0"/>
            <wp:docPr id="1" name="Picture 2" descr="citi-r_2c_pos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r_2c_pos_rgb (3)"/>
                    <pic:cNvPicPr>
                      <a:picLocks noChangeAspect="1" noChangeArrowheads="1"/>
                    </pic:cNvPicPr>
                  </pic:nvPicPr>
                  <pic:blipFill>
                    <a:blip r:embed="rId7"/>
                    <a:srcRect/>
                    <a:stretch>
                      <a:fillRect/>
                    </a:stretch>
                  </pic:blipFill>
                  <pic:spPr bwMode="auto">
                    <a:xfrm>
                      <a:off x="0" y="0"/>
                      <a:ext cx="1147445" cy="793750"/>
                    </a:xfrm>
                    <a:prstGeom prst="rect">
                      <a:avLst/>
                    </a:prstGeom>
                    <a:noFill/>
                    <a:ln w="9525">
                      <a:noFill/>
                      <a:miter lim="800000"/>
                      <a:headEnd/>
                      <a:tailEnd/>
                    </a:ln>
                  </pic:spPr>
                </pic:pic>
              </a:graphicData>
            </a:graphic>
          </wp:inline>
        </w:drawing>
      </w:r>
    </w:p>
    <w:p w:rsidR="002E2E54" w:rsidRDefault="002E2E54" w:rsidP="007F0D92">
      <w:pPr>
        <w:pStyle w:val="Default"/>
        <w:rPr>
          <w:b/>
          <w:bCs/>
          <w:sz w:val="22"/>
          <w:szCs w:val="22"/>
        </w:rPr>
      </w:pPr>
    </w:p>
    <w:p w:rsidR="002E2E54" w:rsidRPr="007F0D92" w:rsidRDefault="002E2E54" w:rsidP="007F0D92">
      <w:pPr>
        <w:pStyle w:val="Default"/>
        <w:rPr>
          <w:b/>
          <w:sz w:val="22"/>
          <w:szCs w:val="22"/>
        </w:rPr>
      </w:pPr>
      <w:r w:rsidRPr="007F0D92">
        <w:rPr>
          <w:b/>
          <w:bCs/>
          <w:sz w:val="22"/>
          <w:szCs w:val="22"/>
        </w:rPr>
        <w:t xml:space="preserve">For Immediate Release </w:t>
      </w:r>
    </w:p>
    <w:p w:rsidR="002E2E54" w:rsidRPr="007F0D92" w:rsidRDefault="002E2E54" w:rsidP="007F0D92">
      <w:pPr>
        <w:pStyle w:val="Default"/>
        <w:rPr>
          <w:b/>
          <w:sz w:val="22"/>
          <w:szCs w:val="22"/>
        </w:rPr>
      </w:pPr>
      <w:r w:rsidRPr="007F0D92">
        <w:rPr>
          <w:b/>
          <w:bCs/>
          <w:sz w:val="22"/>
          <w:szCs w:val="22"/>
        </w:rPr>
        <w:t xml:space="preserve">Citigroup Inc. (NYSE: C) </w:t>
      </w:r>
    </w:p>
    <w:p w:rsidR="002E2E54" w:rsidRDefault="002E2E54" w:rsidP="007F0D92">
      <w:pPr>
        <w:pStyle w:val="Heading4"/>
        <w:jc w:val="left"/>
        <w:rPr>
          <w:bCs w:val="0"/>
          <w:sz w:val="22"/>
          <w:szCs w:val="22"/>
        </w:rPr>
      </w:pPr>
      <w:r w:rsidRPr="007F0D92">
        <w:rPr>
          <w:bCs w:val="0"/>
          <w:sz w:val="22"/>
          <w:szCs w:val="22"/>
        </w:rPr>
        <w:t>Ju</w:t>
      </w:r>
      <w:r>
        <w:rPr>
          <w:bCs w:val="0"/>
          <w:sz w:val="22"/>
          <w:szCs w:val="22"/>
        </w:rPr>
        <w:t xml:space="preserve">ly </w:t>
      </w:r>
      <w:r w:rsidR="00BD5B48">
        <w:rPr>
          <w:bCs w:val="0"/>
          <w:sz w:val="22"/>
          <w:szCs w:val="22"/>
        </w:rPr>
        <w:t>3</w:t>
      </w:r>
      <w:r>
        <w:rPr>
          <w:bCs w:val="0"/>
          <w:sz w:val="22"/>
          <w:szCs w:val="22"/>
        </w:rPr>
        <w:t>, 2012</w:t>
      </w:r>
      <w:r w:rsidRPr="007F0D92">
        <w:rPr>
          <w:bCs w:val="0"/>
          <w:sz w:val="22"/>
          <w:szCs w:val="22"/>
        </w:rPr>
        <w:t xml:space="preserve"> </w:t>
      </w:r>
    </w:p>
    <w:p w:rsidR="002E2E54" w:rsidRDefault="002E2E54" w:rsidP="007F0D92">
      <w:pPr>
        <w:pStyle w:val="Heading4"/>
        <w:rPr>
          <w:szCs w:val="28"/>
        </w:rPr>
      </w:pPr>
    </w:p>
    <w:p w:rsidR="002E2E54" w:rsidRPr="00BB6F85" w:rsidRDefault="002E2E54" w:rsidP="00BB6F85"/>
    <w:p w:rsidR="002E2E54" w:rsidRPr="009220DB" w:rsidRDefault="002E2E54" w:rsidP="007F0D92">
      <w:pPr>
        <w:pStyle w:val="Heading4"/>
        <w:rPr>
          <w:szCs w:val="28"/>
        </w:rPr>
      </w:pPr>
      <w:r w:rsidRPr="007F0D92">
        <w:rPr>
          <w:szCs w:val="28"/>
        </w:rPr>
        <w:t xml:space="preserve">Citi </w:t>
      </w:r>
      <w:smartTag w:uri="urn:schemas-microsoft-com:office:smarttags" w:element="country-region">
        <w:smartTag w:uri="urn:schemas-microsoft-com:office:smarttags" w:element="place">
          <w:r w:rsidRPr="007F0D92">
            <w:rPr>
              <w:szCs w:val="28"/>
            </w:rPr>
            <w:t>India</w:t>
          </w:r>
        </w:smartTag>
      </w:smartTag>
      <w:r w:rsidRPr="007F0D92">
        <w:rPr>
          <w:szCs w:val="28"/>
        </w:rPr>
        <w:t xml:space="preserve"> </w:t>
      </w:r>
      <w:r>
        <w:rPr>
          <w:szCs w:val="28"/>
        </w:rPr>
        <w:t>R</w:t>
      </w:r>
      <w:r w:rsidRPr="007F0D92">
        <w:rPr>
          <w:szCs w:val="28"/>
        </w:rPr>
        <w:t xml:space="preserve">eports </w:t>
      </w:r>
      <w:r w:rsidRPr="009220DB">
        <w:rPr>
          <w:szCs w:val="28"/>
        </w:rPr>
        <w:t>Earnings for the Year Ended March 31, 2012</w:t>
      </w:r>
    </w:p>
    <w:p w:rsidR="002E2E54" w:rsidRPr="009220DB" w:rsidRDefault="002E2E54" w:rsidP="00F9773E">
      <w:pPr>
        <w:jc w:val="center"/>
        <w:rPr>
          <w:rFonts w:ascii="Arial" w:hAnsi="Arial" w:cs="Arial"/>
          <w:b/>
          <w:bCs/>
        </w:rPr>
      </w:pPr>
    </w:p>
    <w:p w:rsidR="002E2E54" w:rsidRPr="00D45445" w:rsidRDefault="002E2E54" w:rsidP="005646F9">
      <w:pPr>
        <w:pStyle w:val="BodyText"/>
        <w:autoSpaceDE/>
        <w:autoSpaceDN/>
        <w:adjustRightInd/>
        <w:jc w:val="both"/>
        <w:rPr>
          <w:bCs/>
          <w:sz w:val="20"/>
        </w:rPr>
      </w:pPr>
      <w:r w:rsidRPr="00D45445">
        <w:rPr>
          <w:b/>
          <w:bCs/>
          <w:sz w:val="20"/>
        </w:rPr>
        <w:t>Mumbai:</w:t>
      </w:r>
      <w:r w:rsidRPr="00D45445">
        <w:rPr>
          <w:sz w:val="20"/>
        </w:rPr>
        <w:t xml:space="preserve"> Citi India reported a strong financial performance for the year ended March 31, 2012. During the period, Profit Before Tax for Citi</w:t>
      </w:r>
      <w:r w:rsidR="00967B46">
        <w:rPr>
          <w:sz w:val="20"/>
        </w:rPr>
        <w:t>bank N.A. India rose 37% to Rs.</w:t>
      </w:r>
      <w:r w:rsidRPr="00D45445">
        <w:rPr>
          <w:sz w:val="20"/>
        </w:rPr>
        <w:t>3,297 crore in financial year 2011-12 from Rs.2,402 crore in financial year 2010-11. Profit After Tax rose 35</w:t>
      </w:r>
      <w:r w:rsidR="00967B46">
        <w:rPr>
          <w:sz w:val="20"/>
        </w:rPr>
        <w:t>% to Rs.</w:t>
      </w:r>
      <w:r w:rsidRPr="00D45445">
        <w:rPr>
          <w:sz w:val="20"/>
        </w:rPr>
        <w:t>1,922 crore from Rs.</w:t>
      </w:r>
      <w:r w:rsidRPr="00D45445">
        <w:rPr>
          <w:color w:val="000000"/>
          <w:sz w:val="20"/>
        </w:rPr>
        <w:t>1,424</w:t>
      </w:r>
      <w:r w:rsidRPr="00D45445">
        <w:rPr>
          <w:sz w:val="20"/>
        </w:rPr>
        <w:t xml:space="preserve"> crore during the same period. Total assets for Citibank India grew 15% to Rs. 128,428 c</w:t>
      </w:r>
      <w:r w:rsidR="00967B46">
        <w:rPr>
          <w:sz w:val="20"/>
        </w:rPr>
        <w:t>rore at March 31, 2012 from Rs.</w:t>
      </w:r>
      <w:r w:rsidR="00E07B26">
        <w:rPr>
          <w:sz w:val="20"/>
        </w:rPr>
        <w:t>111</w:t>
      </w:r>
      <w:r w:rsidRPr="00D45445">
        <w:rPr>
          <w:sz w:val="20"/>
        </w:rPr>
        <w:t>,586 crore at March 31, 2011, driven by growth in the commercial banking segment, higher trade assets for global banking customers and growth in the mortgage business. The Bank’s deposits grew 14% during th</w:t>
      </w:r>
      <w:r w:rsidR="00967B46">
        <w:rPr>
          <w:sz w:val="20"/>
        </w:rPr>
        <w:t>e financial year 2011-12 to Rs.</w:t>
      </w:r>
      <w:r w:rsidRPr="00D45445">
        <w:rPr>
          <w:sz w:val="20"/>
        </w:rPr>
        <w:t xml:space="preserve">64,698 crore and the CASA ratio stood at 55%. At March 31, 2012, the Bank’s </w:t>
      </w:r>
      <w:r w:rsidRPr="00D45445">
        <w:rPr>
          <w:bCs/>
          <w:sz w:val="20"/>
        </w:rPr>
        <w:t>net non-performing loans were lower at 0.9%from 1.2% in the previous year, and its capital adequacy stood at a healthy 16.03%.</w:t>
      </w:r>
    </w:p>
    <w:p w:rsidR="002E2E54" w:rsidRPr="00D45445" w:rsidRDefault="002E2E54" w:rsidP="0049499C">
      <w:pPr>
        <w:autoSpaceDE w:val="0"/>
        <w:autoSpaceDN w:val="0"/>
        <w:adjustRightInd w:val="0"/>
        <w:rPr>
          <w:rFonts w:ascii="Arial" w:hAnsi="Arial" w:cs="Arial"/>
        </w:rPr>
      </w:pPr>
    </w:p>
    <w:p w:rsidR="002E2E54" w:rsidRPr="00D45445" w:rsidRDefault="002E2E54" w:rsidP="005646F9">
      <w:pPr>
        <w:pStyle w:val="BodyText"/>
        <w:autoSpaceDE/>
        <w:autoSpaceDN/>
        <w:adjustRightInd/>
        <w:jc w:val="both"/>
        <w:rPr>
          <w:sz w:val="20"/>
        </w:rPr>
      </w:pPr>
      <w:r w:rsidRPr="00D45445">
        <w:rPr>
          <w:sz w:val="20"/>
        </w:rPr>
        <w:t>Overall, Citi India’s total assets including credit extended to Indian institutional and non-resident Indian clients from offshore branches st</w:t>
      </w:r>
      <w:r w:rsidR="00967B46">
        <w:rPr>
          <w:sz w:val="20"/>
        </w:rPr>
        <w:t>ood at Rs.</w:t>
      </w:r>
      <w:r w:rsidRPr="00D45445">
        <w:rPr>
          <w:sz w:val="20"/>
        </w:rPr>
        <w:t xml:space="preserve">182,256 crore at March 31, 2012, representing a 18% increase over the previous year. </w:t>
      </w:r>
    </w:p>
    <w:p w:rsidR="002E2E54" w:rsidRPr="00D45445" w:rsidRDefault="002E2E54" w:rsidP="0049499C">
      <w:pPr>
        <w:autoSpaceDE w:val="0"/>
        <w:autoSpaceDN w:val="0"/>
        <w:adjustRightInd w:val="0"/>
        <w:rPr>
          <w:rFonts w:ascii="Arial" w:hAnsi="Arial" w:cs="Arial"/>
        </w:rPr>
      </w:pPr>
    </w:p>
    <w:p w:rsidR="002E2E54" w:rsidRPr="00D45445" w:rsidRDefault="002E2E54" w:rsidP="0049499C">
      <w:pPr>
        <w:autoSpaceDE w:val="0"/>
        <w:autoSpaceDN w:val="0"/>
        <w:adjustRightInd w:val="0"/>
        <w:rPr>
          <w:rFonts w:ascii="Arial" w:hAnsi="Arial" w:cs="Arial"/>
        </w:rPr>
      </w:pPr>
    </w:p>
    <w:p w:rsidR="002E2E54" w:rsidRPr="00D45445" w:rsidRDefault="002E2E54" w:rsidP="0049499C">
      <w:pPr>
        <w:pStyle w:val="BodyText"/>
        <w:autoSpaceDE/>
        <w:autoSpaceDN/>
        <w:adjustRightInd/>
        <w:spacing w:after="120"/>
        <w:rPr>
          <w:b/>
          <w:sz w:val="20"/>
        </w:rPr>
      </w:pPr>
      <w:r w:rsidRPr="00D45445">
        <w:rPr>
          <w:b/>
          <w:sz w:val="20"/>
        </w:rPr>
        <w:t>Business Highlights – 2011-12</w:t>
      </w:r>
    </w:p>
    <w:p w:rsidR="002E2E54" w:rsidRPr="00D45445" w:rsidRDefault="002E2E54" w:rsidP="005646F9">
      <w:pPr>
        <w:pStyle w:val="ListParagraph"/>
        <w:numPr>
          <w:ilvl w:val="0"/>
          <w:numId w:val="17"/>
        </w:numPr>
        <w:jc w:val="both"/>
        <w:rPr>
          <w:rFonts w:ascii="Arial" w:hAnsi="Arial" w:cs="Arial"/>
          <w:color w:val="000000"/>
        </w:rPr>
      </w:pPr>
      <w:r w:rsidRPr="00D45445">
        <w:rPr>
          <w:rFonts w:ascii="Arial" w:hAnsi="Arial" w:cs="Arial"/>
          <w:color w:val="000000"/>
        </w:rPr>
        <w:t xml:space="preserve">Continuing the growth of the Consumer Banking business, Citibank India launched ‘Citibanking’, a differentiated value proposition for the emerging affluent segment, during this period. Citibank now serves consumers across every income segment in India – from salaried (Citi@work), emerging affluent (Citibanking), affluent (Citigold), high net worth (Citigold Select) to the non-resident Indian (NRI) community in India and globally. It has also strengthened its focus on Citi Wealth Advisors, for customers focused on investing in equity markets. </w:t>
      </w:r>
    </w:p>
    <w:p w:rsidR="002E2E54" w:rsidRPr="00D45445" w:rsidRDefault="002E2E54" w:rsidP="0003722C">
      <w:pPr>
        <w:pStyle w:val="ListParagraph"/>
        <w:rPr>
          <w:rFonts w:ascii="Arial" w:hAnsi="Arial" w:cs="Arial"/>
          <w:color w:val="000000"/>
        </w:rPr>
      </w:pPr>
    </w:p>
    <w:p w:rsidR="002E2E54" w:rsidRPr="00D45445" w:rsidRDefault="002E2E54" w:rsidP="005646F9">
      <w:pPr>
        <w:pStyle w:val="ListParagraph"/>
        <w:numPr>
          <w:ilvl w:val="0"/>
          <w:numId w:val="17"/>
        </w:numPr>
        <w:jc w:val="both"/>
        <w:rPr>
          <w:rFonts w:ascii="Arial" w:hAnsi="Arial" w:cs="Arial"/>
          <w:color w:val="000000"/>
        </w:rPr>
      </w:pPr>
      <w:r w:rsidRPr="00D45445">
        <w:rPr>
          <w:rFonts w:ascii="Arial" w:hAnsi="Arial" w:cs="Arial"/>
          <w:color w:val="000000"/>
        </w:rPr>
        <w:t xml:space="preserve">Citibank India maintained its leading position in spend per card - at double the industry average, a 21% market share in cards spend, and a 30% share in e-Commerce spend. It also advanced the offering of PremierMiles, India’s first airline agnostic travel card, to offer customers the choice of earning and redeeming miles across 100 airlines.  </w:t>
      </w:r>
    </w:p>
    <w:p w:rsidR="002E2E54" w:rsidRPr="00D45445" w:rsidRDefault="002E2E54" w:rsidP="0003722C">
      <w:pPr>
        <w:pStyle w:val="ListParagraph"/>
        <w:rPr>
          <w:rFonts w:ascii="Arial" w:hAnsi="Arial" w:cs="Arial"/>
          <w:color w:val="000000"/>
        </w:rPr>
      </w:pPr>
    </w:p>
    <w:p w:rsidR="002E2E54" w:rsidRPr="00D45445" w:rsidRDefault="002E2E54" w:rsidP="005646F9">
      <w:pPr>
        <w:pStyle w:val="ListParagraph"/>
        <w:numPr>
          <w:ilvl w:val="0"/>
          <w:numId w:val="17"/>
        </w:numPr>
        <w:jc w:val="both"/>
        <w:rPr>
          <w:rFonts w:ascii="Arial" w:hAnsi="Arial" w:cs="Arial"/>
          <w:color w:val="000000"/>
        </w:rPr>
      </w:pPr>
      <w:r w:rsidRPr="00D45445">
        <w:rPr>
          <w:rFonts w:ascii="Arial" w:hAnsi="Arial" w:cs="Arial"/>
          <w:color w:val="000000"/>
        </w:rPr>
        <w:t>With its continued leadership in digital banking, Citibank launched several features to help bring direct client benefits in the online and mobile banking space. It now offers more than 100 transactions on its online banking platform, Citibank Online. It launched the Citimobile</w:t>
      </w:r>
      <w:r w:rsidR="004647D0">
        <w:rPr>
          <w:rFonts w:ascii="Arial" w:hAnsi="Arial" w:cs="Arial"/>
          <w:color w:val="000000"/>
        </w:rPr>
        <w:t>,</w:t>
      </w:r>
      <w:r w:rsidRPr="00D45445">
        <w:rPr>
          <w:rFonts w:ascii="Arial" w:hAnsi="Arial" w:cs="Arial"/>
          <w:color w:val="000000"/>
        </w:rPr>
        <w:t xml:space="preserve"> mobile banking application, which has unique features like location based services for locating merchants that have Citibank offers, finding the nearest branches and ATM locations and ‘Click-to-Call’ through which the customers can leave a request and receive a callback from the bank. </w:t>
      </w:r>
    </w:p>
    <w:p w:rsidR="002E2E54" w:rsidRPr="00D45445" w:rsidRDefault="002E2E54" w:rsidP="0003722C">
      <w:pPr>
        <w:pStyle w:val="ListParagraph"/>
        <w:rPr>
          <w:rFonts w:ascii="Arial" w:hAnsi="Arial" w:cs="Arial"/>
          <w:color w:val="000000"/>
        </w:rPr>
      </w:pPr>
    </w:p>
    <w:p w:rsidR="002E2E54" w:rsidRPr="00D45445" w:rsidRDefault="002E2E54" w:rsidP="005646F9">
      <w:pPr>
        <w:pStyle w:val="ListParagraph"/>
        <w:numPr>
          <w:ilvl w:val="0"/>
          <w:numId w:val="17"/>
        </w:numPr>
        <w:jc w:val="both"/>
        <w:rPr>
          <w:rFonts w:ascii="Arial" w:hAnsi="Arial" w:cs="Arial"/>
          <w:color w:val="000000"/>
        </w:rPr>
      </w:pPr>
      <w:r w:rsidRPr="00D45445">
        <w:rPr>
          <w:rFonts w:ascii="Arial" w:hAnsi="Arial" w:cs="Arial"/>
          <w:color w:val="000000"/>
        </w:rPr>
        <w:t>Citibank further expanded the number of ATMs to more than 700 and it has a network of 42 branches in 30 cities.</w:t>
      </w:r>
    </w:p>
    <w:p w:rsidR="002E2E54" w:rsidRPr="00D45445" w:rsidRDefault="002E2E54" w:rsidP="0003722C">
      <w:pPr>
        <w:pStyle w:val="ListParagraph"/>
        <w:rPr>
          <w:rFonts w:ascii="Arial" w:hAnsi="Arial" w:cs="Arial"/>
          <w:color w:val="000000"/>
        </w:rPr>
      </w:pPr>
    </w:p>
    <w:p w:rsidR="002E2E54" w:rsidRPr="00D45445" w:rsidRDefault="002E2E54" w:rsidP="005646F9">
      <w:pPr>
        <w:pStyle w:val="BodyText"/>
        <w:numPr>
          <w:ilvl w:val="0"/>
          <w:numId w:val="17"/>
        </w:numPr>
        <w:autoSpaceDE/>
        <w:autoSpaceDN/>
        <w:adjustRightInd/>
        <w:spacing w:after="120"/>
        <w:jc w:val="both"/>
        <w:rPr>
          <w:sz w:val="20"/>
        </w:rPr>
      </w:pPr>
      <w:r w:rsidRPr="00D45445">
        <w:rPr>
          <w:sz w:val="20"/>
        </w:rPr>
        <w:lastRenderedPageBreak/>
        <w:t xml:space="preserve">Revolutionizing the payments market, Citi was the first foreign bank to introduce </w:t>
      </w:r>
      <w:r w:rsidR="00BD5B48" w:rsidRPr="00D45445">
        <w:rPr>
          <w:sz w:val="20"/>
        </w:rPr>
        <w:t xml:space="preserve">the </w:t>
      </w:r>
      <w:r w:rsidRPr="00D45445">
        <w:rPr>
          <w:sz w:val="20"/>
        </w:rPr>
        <w:t>‘Cash-to-Mobile’ receivables solution to address the needs of corporate and institutional clients. This solution allows suppliers and shopkeepers to ma</w:t>
      </w:r>
      <w:r w:rsidR="00BD5B48" w:rsidRPr="00D45445">
        <w:rPr>
          <w:sz w:val="20"/>
        </w:rPr>
        <w:t>ke</w:t>
      </w:r>
      <w:r w:rsidRPr="00D45445">
        <w:rPr>
          <w:sz w:val="20"/>
        </w:rPr>
        <w:t xml:space="preserve"> payments around the clock through a mobile phone network.</w:t>
      </w:r>
    </w:p>
    <w:p w:rsidR="002E2E54" w:rsidRPr="00D45445" w:rsidRDefault="002E2E54" w:rsidP="005646F9">
      <w:pPr>
        <w:pStyle w:val="BodyText"/>
        <w:numPr>
          <w:ilvl w:val="0"/>
          <w:numId w:val="17"/>
        </w:numPr>
        <w:tabs>
          <w:tab w:val="left" w:pos="360"/>
        </w:tabs>
        <w:autoSpaceDE/>
        <w:autoSpaceDN/>
        <w:adjustRightInd/>
        <w:jc w:val="both"/>
        <w:rPr>
          <w:sz w:val="20"/>
        </w:rPr>
      </w:pPr>
      <w:r w:rsidRPr="00D45445">
        <w:rPr>
          <w:sz w:val="20"/>
        </w:rPr>
        <w:t xml:space="preserve">Citi remained integrally connected to the trade and capital flows in the region, touching 13.7% of corporate nationwide foreign exchange flows and 8.84% of corporate trade flows. </w:t>
      </w:r>
    </w:p>
    <w:p w:rsidR="002E2E54" w:rsidRPr="00D45445" w:rsidRDefault="002E2E54" w:rsidP="000179CD">
      <w:pPr>
        <w:pStyle w:val="BodyText"/>
        <w:tabs>
          <w:tab w:val="left" w:pos="360"/>
        </w:tabs>
        <w:autoSpaceDE/>
        <w:autoSpaceDN/>
        <w:adjustRightInd/>
        <w:ind w:left="720"/>
        <w:rPr>
          <w:sz w:val="20"/>
        </w:rPr>
      </w:pPr>
    </w:p>
    <w:p w:rsidR="002E2E54" w:rsidRPr="00D45445" w:rsidRDefault="002E2E54" w:rsidP="005646F9">
      <w:pPr>
        <w:pStyle w:val="BodyText"/>
        <w:numPr>
          <w:ilvl w:val="0"/>
          <w:numId w:val="17"/>
        </w:numPr>
        <w:tabs>
          <w:tab w:val="left" w:pos="360"/>
        </w:tabs>
        <w:autoSpaceDE/>
        <w:autoSpaceDN/>
        <w:adjustRightInd/>
        <w:jc w:val="both"/>
        <w:rPr>
          <w:sz w:val="20"/>
        </w:rPr>
      </w:pPr>
      <w:r w:rsidRPr="00D45445">
        <w:rPr>
          <w:sz w:val="20"/>
        </w:rPr>
        <w:t>Citi helped Indian clients raise close to US$16 billion from equity and debt capital market transactions and advised on M&amp;A transactions worth US$12 billion of announced deal value.  Citi also played a leading role in kick</w:t>
      </w:r>
      <w:r w:rsidR="00967B46">
        <w:rPr>
          <w:sz w:val="20"/>
        </w:rPr>
        <w:t xml:space="preserve"> </w:t>
      </w:r>
      <w:r w:rsidRPr="00D45445">
        <w:rPr>
          <w:sz w:val="20"/>
        </w:rPr>
        <w:t xml:space="preserve">starting the Government’s </w:t>
      </w:r>
      <w:r w:rsidR="00967B46">
        <w:rPr>
          <w:sz w:val="20"/>
        </w:rPr>
        <w:t>FY</w:t>
      </w:r>
      <w:r w:rsidR="00BD5B48" w:rsidRPr="00D45445">
        <w:rPr>
          <w:sz w:val="20"/>
        </w:rPr>
        <w:t>‘</w:t>
      </w:r>
      <w:r w:rsidRPr="00D45445">
        <w:rPr>
          <w:sz w:val="20"/>
        </w:rPr>
        <w:t>13 disinvestment program with the Offer for Sale of ONGC. </w:t>
      </w:r>
    </w:p>
    <w:p w:rsidR="002E2E54" w:rsidRPr="00D45445" w:rsidRDefault="002E2E54" w:rsidP="00B27676">
      <w:pPr>
        <w:pStyle w:val="ListParagraph"/>
        <w:rPr>
          <w:rFonts w:ascii="Arial" w:hAnsi="Arial" w:cs="Arial"/>
        </w:rPr>
      </w:pPr>
    </w:p>
    <w:p w:rsidR="00967B46" w:rsidRDefault="00967B46" w:rsidP="000179CD">
      <w:pPr>
        <w:rPr>
          <w:rFonts w:ascii="Arial" w:hAnsi="Arial" w:cs="Arial"/>
          <w:b/>
          <w:bCs/>
        </w:rPr>
      </w:pPr>
    </w:p>
    <w:p w:rsidR="002E2E54" w:rsidRPr="00D45445" w:rsidRDefault="002E2E54" w:rsidP="000179CD">
      <w:pPr>
        <w:rPr>
          <w:rFonts w:ascii="Arial" w:hAnsi="Arial" w:cs="Arial"/>
          <w:b/>
          <w:bCs/>
        </w:rPr>
      </w:pPr>
      <w:r w:rsidRPr="00D45445">
        <w:rPr>
          <w:rFonts w:ascii="Arial" w:hAnsi="Arial" w:cs="Arial"/>
          <w:b/>
          <w:bCs/>
        </w:rPr>
        <w:t>Citi 200</w:t>
      </w:r>
      <w:r w:rsidRPr="00D45445">
        <w:rPr>
          <w:rFonts w:ascii="Arial" w:hAnsi="Arial" w:cs="Arial"/>
          <w:b/>
          <w:bCs/>
          <w:vertAlign w:val="superscript"/>
        </w:rPr>
        <w:t>th</w:t>
      </w:r>
      <w:r w:rsidRPr="00D45445">
        <w:rPr>
          <w:rFonts w:ascii="Arial" w:hAnsi="Arial" w:cs="Arial"/>
          <w:b/>
          <w:bCs/>
        </w:rPr>
        <w:t xml:space="preserve"> Anniversary</w:t>
      </w:r>
    </w:p>
    <w:p w:rsidR="002E2E54" w:rsidRPr="00D45445" w:rsidRDefault="002E2E54" w:rsidP="000179CD">
      <w:pPr>
        <w:rPr>
          <w:rFonts w:ascii="Arial" w:hAnsi="Arial" w:cs="Arial"/>
          <w:b/>
          <w:bCs/>
        </w:rPr>
      </w:pPr>
    </w:p>
    <w:p w:rsidR="002E2E54" w:rsidRPr="00D45445" w:rsidRDefault="002E2E54" w:rsidP="005646F9">
      <w:pPr>
        <w:jc w:val="both"/>
        <w:rPr>
          <w:rFonts w:ascii="Arial" w:hAnsi="Arial" w:cs="Arial"/>
        </w:rPr>
      </w:pPr>
      <w:r w:rsidRPr="00D45445">
        <w:rPr>
          <w:rFonts w:ascii="Arial" w:hAnsi="Arial" w:cs="Arial"/>
        </w:rPr>
        <w:t>Citi marks its 200</w:t>
      </w:r>
      <w:r w:rsidRPr="00D45445">
        <w:rPr>
          <w:rFonts w:ascii="Arial" w:hAnsi="Arial" w:cs="Arial"/>
          <w:vertAlign w:val="superscript"/>
        </w:rPr>
        <w:t>th</w:t>
      </w:r>
      <w:r w:rsidRPr="00D45445">
        <w:rPr>
          <w:rFonts w:ascii="Arial" w:hAnsi="Arial" w:cs="Arial"/>
        </w:rPr>
        <w:t xml:space="preserve"> anniversary in 2012. Founded in 1812 in New York, the mission of the organization has been to support and be an enabler of economic progress. Citi has financed some of the world’s most transformative projects, such as the Panama Canal, the Transatlantic Cable and the jumbo jet. In India, from its inception in 1902, Citi’s growth has been closely entwined with that of the country – its milestones in India, among many, included the financing of the first Boeing aircraft in 1971, the launch of retail banking in 1985, the issuance of the first credit card in 1990 and the launch of internet banking in 1999. Citi celebrated its 200</w:t>
      </w:r>
      <w:r w:rsidRPr="00D45445">
        <w:rPr>
          <w:rFonts w:ascii="Arial" w:hAnsi="Arial" w:cs="Arial"/>
          <w:vertAlign w:val="superscript"/>
        </w:rPr>
        <w:t>th</w:t>
      </w:r>
      <w:r w:rsidRPr="00D45445">
        <w:rPr>
          <w:rFonts w:ascii="Arial" w:hAnsi="Arial" w:cs="Arial"/>
        </w:rPr>
        <w:t xml:space="preserve"> birthday on June 16, 2012 with its biggest ever Global Community Day, during which 5,000 people comprising employees, family, friends, clients and alumni from Citi and three partner organizations, took part in a range of community related activities across the country.</w:t>
      </w:r>
    </w:p>
    <w:p w:rsidR="002E2E54" w:rsidRPr="00D45445" w:rsidRDefault="002E2E54" w:rsidP="000179CD">
      <w:pPr>
        <w:rPr>
          <w:rFonts w:ascii="Arial" w:hAnsi="Arial" w:cs="Arial"/>
        </w:rPr>
      </w:pPr>
    </w:p>
    <w:p w:rsidR="002E2E54" w:rsidRPr="00D45445" w:rsidRDefault="002E2E54" w:rsidP="000179CD">
      <w:pPr>
        <w:rPr>
          <w:rFonts w:ascii="Arial" w:hAnsi="Arial" w:cs="Arial"/>
          <w:b/>
        </w:rPr>
      </w:pPr>
      <w:r w:rsidRPr="00D45445">
        <w:rPr>
          <w:rFonts w:ascii="Arial" w:hAnsi="Arial" w:cs="Arial"/>
          <w:b/>
        </w:rPr>
        <w:t>Employer of Choice</w:t>
      </w:r>
    </w:p>
    <w:p w:rsidR="002E2E54" w:rsidRPr="00D45445" w:rsidRDefault="002E2E54" w:rsidP="000179CD">
      <w:pPr>
        <w:rPr>
          <w:rFonts w:ascii="Arial" w:hAnsi="Arial" w:cs="Arial"/>
          <w:b/>
        </w:rPr>
      </w:pPr>
    </w:p>
    <w:p w:rsidR="002E2E54" w:rsidRPr="00D45445" w:rsidRDefault="002E2E54" w:rsidP="005646F9">
      <w:pPr>
        <w:jc w:val="both"/>
        <w:rPr>
          <w:rFonts w:ascii="Arial" w:hAnsi="Arial" w:cs="Arial"/>
        </w:rPr>
      </w:pPr>
      <w:r w:rsidRPr="00D45445">
        <w:rPr>
          <w:rFonts w:ascii="Arial" w:hAnsi="Arial" w:cs="Arial"/>
        </w:rPr>
        <w:t>Citi remained committed to</w:t>
      </w:r>
      <w:r w:rsidR="00BD5B48" w:rsidRPr="00D45445">
        <w:rPr>
          <w:rFonts w:ascii="Arial" w:hAnsi="Arial" w:cs="Arial"/>
        </w:rPr>
        <w:t xml:space="preserve"> nurturing and</w:t>
      </w:r>
      <w:r w:rsidRPr="00D45445">
        <w:rPr>
          <w:rFonts w:ascii="Arial" w:hAnsi="Arial" w:cs="Arial"/>
        </w:rPr>
        <w:t xml:space="preserve"> investing in talent</w:t>
      </w:r>
      <w:r w:rsidR="00967B46">
        <w:rPr>
          <w:rFonts w:ascii="Arial" w:hAnsi="Arial" w:cs="Arial"/>
        </w:rPr>
        <w:t>,</w:t>
      </w:r>
      <w:r w:rsidRPr="00D45445">
        <w:rPr>
          <w:rFonts w:ascii="Arial" w:hAnsi="Arial" w:cs="Arial"/>
        </w:rPr>
        <w:t xml:space="preserve"> grooming tomorrow’s leaders, and made 146 new hires for its Associate Programme from among the best B-schools in India and globally. </w:t>
      </w:r>
    </w:p>
    <w:p w:rsidR="002E2E54" w:rsidRPr="00D45445" w:rsidRDefault="002E2E54" w:rsidP="000179CD">
      <w:pPr>
        <w:rPr>
          <w:rFonts w:ascii="Arial" w:hAnsi="Arial" w:cs="Arial"/>
        </w:rPr>
      </w:pPr>
    </w:p>
    <w:p w:rsidR="002E2E54" w:rsidRPr="00D45445" w:rsidRDefault="002E2E54" w:rsidP="000179CD">
      <w:pPr>
        <w:autoSpaceDE w:val="0"/>
        <w:autoSpaceDN w:val="0"/>
        <w:adjustRightInd w:val="0"/>
        <w:rPr>
          <w:rFonts w:ascii="Arial" w:hAnsi="Arial" w:cs="Arial"/>
          <w:b/>
        </w:rPr>
      </w:pPr>
      <w:r w:rsidRPr="00D45445">
        <w:rPr>
          <w:rFonts w:ascii="Arial" w:hAnsi="Arial" w:cs="Arial"/>
          <w:b/>
        </w:rPr>
        <w:t>Corporate Citizenship</w:t>
      </w:r>
    </w:p>
    <w:p w:rsidR="002E2E54" w:rsidRPr="00D45445" w:rsidRDefault="002E2E54" w:rsidP="000179CD">
      <w:pPr>
        <w:pStyle w:val="BodyText2"/>
        <w:spacing w:after="0" w:line="240" w:lineRule="auto"/>
        <w:rPr>
          <w:rFonts w:ascii="Arial" w:hAnsi="Arial" w:cs="Arial"/>
        </w:rPr>
      </w:pPr>
    </w:p>
    <w:p w:rsidR="002E2E54" w:rsidRPr="00D45445" w:rsidRDefault="002E2E54" w:rsidP="005646F9">
      <w:pPr>
        <w:jc w:val="both"/>
        <w:rPr>
          <w:rFonts w:ascii="Arial" w:hAnsi="Arial" w:cs="Arial"/>
        </w:rPr>
      </w:pPr>
      <w:r w:rsidRPr="00D45445">
        <w:rPr>
          <w:rFonts w:ascii="Arial" w:hAnsi="Arial" w:cs="Arial"/>
        </w:rPr>
        <w:t>In its continuing effort to support Economic Inclusion by way of enterprise development, youth education and livelihoods, financial capability and asset building and microfinance, Citi's Corporate Citizenship program made grants totaling Rs. 9.5 crore during the financial year 2011-12, which are expected to make a difference in the lives of more than 6.5 lakh people.</w:t>
      </w:r>
    </w:p>
    <w:p w:rsidR="002E2E54" w:rsidRDefault="002E2E54" w:rsidP="000179CD">
      <w:pPr>
        <w:pStyle w:val="BodyText2"/>
        <w:spacing w:after="0" w:line="240" w:lineRule="auto"/>
        <w:rPr>
          <w:rFonts w:ascii="Arial" w:hAnsi="Arial" w:cs="Arial"/>
        </w:rPr>
      </w:pPr>
    </w:p>
    <w:p w:rsidR="002E2E54" w:rsidRPr="000271A9" w:rsidRDefault="002E2E54" w:rsidP="000179CD">
      <w:pPr>
        <w:pStyle w:val="BodyText2"/>
        <w:spacing w:after="0" w:line="240" w:lineRule="auto"/>
        <w:rPr>
          <w:rFonts w:ascii="Arial" w:hAnsi="Arial" w:cs="Arial"/>
        </w:rPr>
      </w:pPr>
    </w:p>
    <w:p w:rsidR="002E2E54" w:rsidRDefault="002E2E54" w:rsidP="00D45445">
      <w:pPr>
        <w:jc w:val="center"/>
        <w:rPr>
          <w:rFonts w:ascii="Arial" w:hAnsi="Arial" w:cs="Arial"/>
          <w:sz w:val="18"/>
          <w:szCs w:val="18"/>
        </w:rPr>
      </w:pPr>
      <w:r w:rsidRPr="00B5156D">
        <w:rPr>
          <w:rFonts w:ascii="Arial" w:hAnsi="Arial" w:cs="Arial"/>
          <w:sz w:val="18"/>
          <w:szCs w:val="18"/>
        </w:rPr>
        <w:t>***</w:t>
      </w:r>
    </w:p>
    <w:p w:rsidR="002E2E54" w:rsidRPr="00B5156D" w:rsidRDefault="002E2E54" w:rsidP="000179CD">
      <w:pPr>
        <w:pStyle w:val="PlainText"/>
        <w:jc w:val="both"/>
        <w:rPr>
          <w:b/>
          <w:sz w:val="18"/>
          <w:szCs w:val="18"/>
        </w:rPr>
      </w:pPr>
      <w:r w:rsidRPr="00B5156D">
        <w:rPr>
          <w:b/>
          <w:sz w:val="18"/>
          <w:szCs w:val="18"/>
        </w:rPr>
        <w:t>About Citi:</w:t>
      </w:r>
    </w:p>
    <w:p w:rsidR="002E2E54" w:rsidRPr="00B5156D" w:rsidRDefault="002E2E54" w:rsidP="005646F9">
      <w:pPr>
        <w:jc w:val="both"/>
        <w:rPr>
          <w:rFonts w:ascii="Arial" w:hAnsi="Arial" w:cs="Arial"/>
          <w:sz w:val="18"/>
          <w:szCs w:val="18"/>
        </w:rPr>
      </w:pPr>
      <w:r w:rsidRPr="00B5156D">
        <w:rPr>
          <w:rFonts w:ascii="Arial" w:hAnsi="Arial" w:cs="Arial"/>
          <w:sz w:val="18"/>
          <w:szCs w:val="18"/>
        </w:rPr>
        <w:t xml:space="preserve">Committed to </w:t>
      </w:r>
      <w:smartTag w:uri="urn:schemas-microsoft-com:office:smarttags" w:element="PlaceType">
        <w:smartTag w:uri="urn:schemas-microsoft-com:office:smarttags" w:element="place">
          <w:smartTag w:uri="urn:schemas-microsoft-com:office:smarttags" w:element="country-region">
            <w:r w:rsidRPr="00B5156D">
              <w:rPr>
                <w:rFonts w:ascii="Arial" w:hAnsi="Arial" w:cs="Arial"/>
                <w:sz w:val="18"/>
                <w:szCs w:val="18"/>
              </w:rPr>
              <w:t>India</w:t>
            </w:r>
          </w:smartTag>
        </w:smartTag>
      </w:smartTag>
      <w:r w:rsidRPr="00B5156D">
        <w:rPr>
          <w:rFonts w:ascii="Arial" w:hAnsi="Arial" w:cs="Arial"/>
          <w:sz w:val="18"/>
          <w:szCs w:val="18"/>
        </w:rPr>
        <w:t xml:space="preserve"> for over 110 years, Citi takes pride in being a premier locally-embedded financial institution backed by an unmatched international network. Citi's presence in </w:t>
      </w:r>
      <w:smartTag w:uri="urn:schemas-microsoft-com:office:smarttags" w:element="PlaceType">
        <w:smartTag w:uri="urn:schemas-microsoft-com:office:smarttags" w:element="place">
          <w:smartTag w:uri="urn:schemas-microsoft-com:office:smarttags" w:element="country-region">
            <w:r w:rsidRPr="00B5156D">
              <w:rPr>
                <w:rFonts w:ascii="Arial" w:hAnsi="Arial" w:cs="Arial"/>
                <w:sz w:val="18"/>
                <w:szCs w:val="18"/>
              </w:rPr>
              <w:t>India</w:t>
            </w:r>
          </w:smartTag>
        </w:smartTag>
      </w:smartTag>
      <w:r w:rsidRPr="00B5156D">
        <w:rPr>
          <w:rFonts w:ascii="Arial" w:hAnsi="Arial" w:cs="Arial"/>
          <w:sz w:val="18"/>
          <w:szCs w:val="18"/>
        </w:rPr>
        <w:t xml:space="preserve"> spans 42 Citibank branches across 30 cities and over 700 ATMs. With capital invested of around US$4 billion, Citi is the single largest foreign direct investor in the financial services industry in </w:t>
      </w:r>
      <w:smartTag w:uri="urn:schemas-microsoft-com:office:smarttags" w:element="PlaceType">
        <w:smartTag w:uri="urn:schemas-microsoft-com:office:smarttags" w:element="place">
          <w:smartTag w:uri="urn:schemas-microsoft-com:office:smarttags" w:element="country-region">
            <w:r w:rsidRPr="00B5156D">
              <w:rPr>
                <w:rFonts w:ascii="Arial" w:hAnsi="Arial" w:cs="Arial"/>
                <w:sz w:val="18"/>
                <w:szCs w:val="18"/>
              </w:rPr>
              <w:t>India</w:t>
            </w:r>
          </w:smartTag>
        </w:smartTag>
      </w:smartTag>
      <w:r w:rsidRPr="00B5156D">
        <w:rPr>
          <w:rFonts w:ascii="Arial" w:hAnsi="Arial" w:cs="Arial"/>
          <w:sz w:val="18"/>
          <w:szCs w:val="18"/>
        </w:rPr>
        <w:t xml:space="preserve"> and offers consumers and institutions a broad range of financial products and services, including consumer banking and credit, corporate and investment banking, securities brokerage, and wealth management. Citi is an employer of choice to approximately 7200 employees in </w:t>
      </w:r>
      <w:smartTag w:uri="urn:schemas-microsoft-com:office:smarttags" w:element="PlaceType">
        <w:smartTag w:uri="urn:schemas-microsoft-com:office:smarttags" w:element="place">
          <w:smartTag w:uri="urn:schemas-microsoft-com:office:smarttags" w:element="country-region">
            <w:r w:rsidRPr="00B5156D">
              <w:rPr>
                <w:rFonts w:ascii="Arial" w:hAnsi="Arial" w:cs="Arial"/>
                <w:sz w:val="18"/>
                <w:szCs w:val="18"/>
              </w:rPr>
              <w:t>India</w:t>
            </w:r>
          </w:smartTag>
        </w:smartTag>
      </w:smartTag>
      <w:r w:rsidRPr="00B5156D">
        <w:rPr>
          <w:rFonts w:ascii="Arial" w:hAnsi="Arial" w:cs="Arial"/>
          <w:sz w:val="18"/>
          <w:szCs w:val="18"/>
        </w:rPr>
        <w:t xml:space="preserve">. Citi's franchise in </w:t>
      </w:r>
      <w:smartTag w:uri="urn:schemas-microsoft-com:office:smarttags" w:element="PlaceType">
        <w:smartTag w:uri="urn:schemas-microsoft-com:office:smarttags" w:element="place">
          <w:smartTag w:uri="urn:schemas-microsoft-com:office:smarttags" w:element="country-region">
            <w:r w:rsidRPr="00B5156D">
              <w:rPr>
                <w:rFonts w:ascii="Arial" w:hAnsi="Arial" w:cs="Arial"/>
                <w:sz w:val="18"/>
                <w:szCs w:val="18"/>
              </w:rPr>
              <w:t>India</w:t>
            </w:r>
          </w:smartTag>
        </w:smartTag>
      </w:smartTag>
      <w:r w:rsidRPr="00B5156D">
        <w:rPr>
          <w:rFonts w:ascii="Arial" w:hAnsi="Arial" w:cs="Arial"/>
          <w:sz w:val="18"/>
          <w:szCs w:val="18"/>
        </w:rPr>
        <w:t xml:space="preserve"> includes businesses such as equity brokerage, equities distribution, private banking (Citi Private Bank) and alternate investments and private equity (CVCI). In line with our commitment to make a positive difference in the communities where we work, Citi </w:t>
      </w:r>
      <w:smartTag w:uri="urn:schemas-microsoft-com:office:smarttags" w:element="PlaceType">
        <w:smartTag w:uri="urn:schemas-microsoft-com:office:smarttags" w:element="country-region">
          <w:r w:rsidRPr="00B5156D">
            <w:rPr>
              <w:rFonts w:ascii="Arial" w:hAnsi="Arial" w:cs="Arial"/>
              <w:sz w:val="18"/>
              <w:szCs w:val="18"/>
            </w:rPr>
            <w:t>India</w:t>
          </w:r>
        </w:smartTag>
      </w:smartTag>
      <w:r w:rsidRPr="00B5156D">
        <w:rPr>
          <w:rFonts w:ascii="Arial" w:hAnsi="Arial" w:cs="Arial"/>
          <w:sz w:val="18"/>
          <w:szCs w:val="18"/>
        </w:rPr>
        <w:t xml:space="preserve">'s citizenship programme targets its strategic efforts in the priority focus areas of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B5156D">
                <w:rPr>
                  <w:rFonts w:ascii="Arial" w:hAnsi="Arial" w:cs="Arial"/>
                  <w:sz w:val="18"/>
                  <w:szCs w:val="18"/>
                </w:rPr>
                <w:t>Financial</w:t>
              </w:r>
            </w:smartTag>
          </w:smartTag>
          <w:r w:rsidRPr="00B5156D">
            <w:rPr>
              <w:rFonts w:ascii="Arial" w:hAnsi="Arial" w:cs="Arial"/>
              <w:sz w:val="18"/>
              <w:szCs w:val="18"/>
            </w:rPr>
            <w:t xml:space="preserve"> </w:t>
          </w:r>
          <w:smartTag w:uri="urn:schemas-microsoft-com:office:smarttags" w:element="PlaceType">
            <w:smartTag w:uri="urn:schemas-microsoft-com:office:smarttags" w:element="PlaceName">
              <w:r w:rsidRPr="00B5156D">
                <w:rPr>
                  <w:rFonts w:ascii="Arial" w:hAnsi="Arial" w:cs="Arial"/>
                  <w:sz w:val="18"/>
                  <w:szCs w:val="18"/>
                </w:rPr>
                <w:t>Capability &amp; Asset</w:t>
              </w:r>
            </w:smartTag>
          </w:smartTag>
          <w:r w:rsidRPr="00B5156D">
            <w:rPr>
              <w:rFonts w:ascii="Arial" w:hAnsi="Arial" w:cs="Arial"/>
              <w:sz w:val="18"/>
              <w:szCs w:val="18"/>
            </w:rPr>
            <w:t xml:space="preserve"> </w:t>
          </w:r>
          <w:smartTag w:uri="urn:schemas-microsoft-com:office:smarttags" w:element="place">
            <w:r w:rsidRPr="00B5156D">
              <w:rPr>
                <w:rFonts w:ascii="Arial" w:hAnsi="Arial" w:cs="Arial"/>
                <w:sz w:val="18"/>
                <w:szCs w:val="18"/>
              </w:rPr>
              <w:t>Building</w:t>
            </w:r>
          </w:smartTag>
        </w:smartTag>
      </w:smartTag>
      <w:r w:rsidRPr="00B5156D">
        <w:rPr>
          <w:rFonts w:ascii="Arial" w:hAnsi="Arial" w:cs="Arial"/>
          <w:sz w:val="18"/>
          <w:szCs w:val="18"/>
        </w:rPr>
        <w:t xml:space="preserve">, Microfinance, Enterprise Development, and Youth, Education &amp; Livelihoods. Additional information may be found at </w:t>
      </w:r>
      <w:hyperlink r:id="rId8" w:history="1">
        <w:r w:rsidRPr="00B5156D">
          <w:rPr>
            <w:rStyle w:val="Hyperlink"/>
            <w:rFonts w:ascii="Arial" w:hAnsi="Arial" w:cs="Arial"/>
            <w:sz w:val="18"/>
            <w:szCs w:val="18"/>
          </w:rPr>
          <w:t>http://www.online.citibank.co.in/press-room/citi-in-india.htm</w:t>
        </w:r>
      </w:hyperlink>
    </w:p>
    <w:p w:rsidR="002E2E54" w:rsidRPr="00B5156D" w:rsidRDefault="002E2E54" w:rsidP="00B5156D">
      <w:pPr>
        <w:rPr>
          <w:rFonts w:ascii="Arial" w:hAnsi="Arial" w:cs="Arial"/>
          <w:b/>
          <w:sz w:val="18"/>
          <w:szCs w:val="18"/>
        </w:rPr>
      </w:pPr>
    </w:p>
    <w:p w:rsidR="002E2E54" w:rsidRDefault="002E2E54">
      <w:pPr>
        <w:rPr>
          <w:b/>
          <w:sz w:val="18"/>
          <w:szCs w:val="18"/>
        </w:rPr>
      </w:pPr>
    </w:p>
    <w:p w:rsidR="002E2E54" w:rsidRDefault="002E2E54">
      <w:pPr>
        <w:rPr>
          <w:rFonts w:ascii="Arial" w:hAnsi="Arial" w:cs="Arial"/>
          <w:b/>
          <w:color w:val="000000"/>
          <w:sz w:val="18"/>
          <w:szCs w:val="18"/>
        </w:rPr>
      </w:pPr>
    </w:p>
    <w:p w:rsidR="002E2E54" w:rsidRPr="00B5156D" w:rsidRDefault="002E2E54" w:rsidP="00B5156D">
      <w:pPr>
        <w:pStyle w:val="PlainText"/>
        <w:jc w:val="both"/>
        <w:rPr>
          <w:b/>
          <w:sz w:val="18"/>
          <w:szCs w:val="18"/>
        </w:rPr>
      </w:pPr>
      <w:r w:rsidRPr="00B5156D">
        <w:rPr>
          <w:b/>
          <w:sz w:val="18"/>
          <w:szCs w:val="18"/>
        </w:rPr>
        <w:t>Media Contact:</w:t>
      </w:r>
    </w:p>
    <w:p w:rsidR="002E2E54" w:rsidRPr="00B5156D" w:rsidRDefault="002E2E54" w:rsidP="00B5156D">
      <w:pPr>
        <w:pStyle w:val="PlainText"/>
        <w:ind w:right="135"/>
        <w:jc w:val="both"/>
        <w:rPr>
          <w:sz w:val="18"/>
          <w:szCs w:val="18"/>
        </w:rPr>
      </w:pPr>
      <w:r w:rsidRPr="00B5156D">
        <w:rPr>
          <w:sz w:val="18"/>
          <w:szCs w:val="18"/>
        </w:rPr>
        <w:t>Jane Ong</w:t>
      </w:r>
      <w:r w:rsidRPr="00B5156D">
        <w:rPr>
          <w:sz w:val="18"/>
          <w:szCs w:val="18"/>
        </w:rPr>
        <w:tab/>
      </w:r>
      <w:r w:rsidRPr="00B5156D">
        <w:rPr>
          <w:sz w:val="18"/>
          <w:szCs w:val="18"/>
        </w:rPr>
        <w:tab/>
      </w:r>
      <w:r w:rsidRPr="00B5156D">
        <w:rPr>
          <w:sz w:val="18"/>
          <w:szCs w:val="18"/>
        </w:rPr>
        <w:tab/>
        <w:t>+91 22 4001 505</w:t>
      </w:r>
      <w:r>
        <w:rPr>
          <w:sz w:val="18"/>
          <w:szCs w:val="18"/>
        </w:rPr>
        <w:t>0</w:t>
      </w:r>
      <w:r w:rsidRPr="00B5156D">
        <w:rPr>
          <w:sz w:val="18"/>
          <w:szCs w:val="18"/>
        </w:rPr>
        <w:tab/>
      </w:r>
      <w:r w:rsidRPr="00B5156D">
        <w:rPr>
          <w:sz w:val="18"/>
          <w:szCs w:val="18"/>
        </w:rPr>
        <w:tab/>
        <w:t>jane.g.ong@citi.com</w:t>
      </w:r>
    </w:p>
    <w:p w:rsidR="002E2E54" w:rsidRPr="00D04B65" w:rsidRDefault="002E2E54" w:rsidP="00967B46">
      <w:pPr>
        <w:pStyle w:val="PlainText"/>
        <w:ind w:right="135"/>
        <w:jc w:val="both"/>
      </w:pPr>
      <w:r w:rsidRPr="00B5156D">
        <w:rPr>
          <w:sz w:val="18"/>
          <w:szCs w:val="18"/>
        </w:rPr>
        <w:t xml:space="preserve">Debasis Ghosh </w:t>
      </w:r>
      <w:r w:rsidRPr="00B5156D">
        <w:rPr>
          <w:sz w:val="18"/>
          <w:szCs w:val="18"/>
        </w:rPr>
        <w:tab/>
      </w:r>
      <w:r w:rsidRPr="00B5156D">
        <w:rPr>
          <w:sz w:val="18"/>
          <w:szCs w:val="18"/>
        </w:rPr>
        <w:tab/>
      </w:r>
      <w:r w:rsidRPr="00B5156D">
        <w:rPr>
          <w:sz w:val="18"/>
          <w:szCs w:val="18"/>
        </w:rPr>
        <w:tab/>
        <w:t xml:space="preserve">+91 22 4001 5009 </w:t>
      </w:r>
      <w:r w:rsidRPr="00B5156D">
        <w:rPr>
          <w:sz w:val="18"/>
          <w:szCs w:val="18"/>
        </w:rPr>
        <w:tab/>
      </w:r>
      <w:r w:rsidRPr="00B5156D">
        <w:rPr>
          <w:sz w:val="18"/>
          <w:szCs w:val="18"/>
        </w:rPr>
        <w:tab/>
      </w:r>
      <w:hyperlink r:id="rId9" w:history="1">
        <w:r w:rsidRPr="00B5156D">
          <w:rPr>
            <w:sz w:val="18"/>
            <w:szCs w:val="18"/>
          </w:rPr>
          <w:t>debasis.ghosh@citi.com</w:t>
        </w:r>
      </w:hyperlink>
    </w:p>
    <w:sectPr w:rsidR="002E2E54" w:rsidRPr="00D04B65" w:rsidSect="00EB55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0D" w:rsidRDefault="00A54D0D" w:rsidP="007473D9">
      <w:r>
        <w:separator/>
      </w:r>
    </w:p>
  </w:endnote>
  <w:endnote w:type="continuationSeparator" w:id="0">
    <w:p w:rsidR="00A54D0D" w:rsidRDefault="00A54D0D" w:rsidP="007473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0D" w:rsidRDefault="00A54D0D" w:rsidP="007473D9">
      <w:r>
        <w:separator/>
      </w:r>
    </w:p>
  </w:footnote>
  <w:footnote w:type="continuationSeparator" w:id="0">
    <w:p w:rsidR="00A54D0D" w:rsidRDefault="00A54D0D" w:rsidP="00747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AD6"/>
    <w:multiLevelType w:val="hybridMultilevel"/>
    <w:tmpl w:val="337C656E"/>
    <w:lvl w:ilvl="0" w:tplc="04090003">
      <w:start w:val="1"/>
      <w:numFmt w:val="bullet"/>
      <w:lvlText w:val="o"/>
      <w:lvlJc w:val="left"/>
      <w:pPr>
        <w:ind w:left="360" w:hanging="360"/>
      </w:pPr>
      <w:rPr>
        <w:rFonts w:ascii="Courier New" w:hAnsi="Courier New"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
    <w:nsid w:val="104D1E23"/>
    <w:multiLevelType w:val="hybridMultilevel"/>
    <w:tmpl w:val="8C38C0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
    <w:nsid w:val="14B75603"/>
    <w:multiLevelType w:val="hybridMultilevel"/>
    <w:tmpl w:val="F2A41B7A"/>
    <w:lvl w:ilvl="0" w:tplc="A094FA42">
      <w:start w:val="1"/>
      <w:numFmt w:val="bullet"/>
      <w:lvlText w:val="o"/>
      <w:lvlJc w:val="left"/>
      <w:pPr>
        <w:tabs>
          <w:tab w:val="num" w:pos="1440"/>
        </w:tabs>
        <w:ind w:left="1440" w:hanging="360"/>
      </w:pPr>
      <w:rPr>
        <w:rFonts w:ascii="Courier New" w:hAnsi="Courier New" w:hint="default"/>
        <w:color w:val="000000"/>
        <w:sz w:val="20"/>
      </w:rPr>
    </w:lvl>
    <w:lvl w:ilvl="1" w:tplc="04090003">
      <w:start w:val="1"/>
      <w:numFmt w:val="decimal"/>
      <w:lvlText w:val="%2."/>
      <w:lvlJc w:val="left"/>
      <w:pPr>
        <w:tabs>
          <w:tab w:val="num" w:pos="2520"/>
        </w:tabs>
        <w:ind w:left="2520" w:hanging="360"/>
      </w:pPr>
      <w:rPr>
        <w:rFonts w:cs="Times New Roman"/>
      </w:rPr>
    </w:lvl>
    <w:lvl w:ilvl="2" w:tplc="04090005">
      <w:start w:val="1"/>
      <w:numFmt w:val="decimal"/>
      <w:lvlText w:val="%3."/>
      <w:lvlJc w:val="left"/>
      <w:pPr>
        <w:tabs>
          <w:tab w:val="num" w:pos="3240"/>
        </w:tabs>
        <w:ind w:left="3240" w:hanging="36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decimal"/>
      <w:lvlText w:val="%5."/>
      <w:lvlJc w:val="left"/>
      <w:pPr>
        <w:tabs>
          <w:tab w:val="num" w:pos="4680"/>
        </w:tabs>
        <w:ind w:left="4680" w:hanging="360"/>
      </w:pPr>
      <w:rPr>
        <w:rFonts w:cs="Times New Roman"/>
      </w:rPr>
    </w:lvl>
    <w:lvl w:ilvl="5" w:tplc="04090005">
      <w:start w:val="1"/>
      <w:numFmt w:val="decimal"/>
      <w:lvlText w:val="%6."/>
      <w:lvlJc w:val="left"/>
      <w:pPr>
        <w:tabs>
          <w:tab w:val="num" w:pos="5400"/>
        </w:tabs>
        <w:ind w:left="5400" w:hanging="36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decimal"/>
      <w:lvlText w:val="%8."/>
      <w:lvlJc w:val="left"/>
      <w:pPr>
        <w:tabs>
          <w:tab w:val="num" w:pos="6840"/>
        </w:tabs>
        <w:ind w:left="6840" w:hanging="360"/>
      </w:pPr>
      <w:rPr>
        <w:rFonts w:cs="Times New Roman"/>
      </w:rPr>
    </w:lvl>
    <w:lvl w:ilvl="8" w:tplc="04090005">
      <w:start w:val="1"/>
      <w:numFmt w:val="decimal"/>
      <w:lvlText w:val="%9."/>
      <w:lvlJc w:val="left"/>
      <w:pPr>
        <w:tabs>
          <w:tab w:val="num" w:pos="7560"/>
        </w:tabs>
        <w:ind w:left="7560" w:hanging="360"/>
      </w:pPr>
      <w:rPr>
        <w:rFonts w:cs="Times New Roman"/>
      </w:rPr>
    </w:lvl>
  </w:abstractNum>
  <w:abstractNum w:abstractNumId="3">
    <w:nsid w:val="185414DA"/>
    <w:multiLevelType w:val="hybridMultilevel"/>
    <w:tmpl w:val="498E52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AE048B"/>
    <w:multiLevelType w:val="hybridMultilevel"/>
    <w:tmpl w:val="80DE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160FAA"/>
    <w:multiLevelType w:val="hybridMultilevel"/>
    <w:tmpl w:val="56EAC520"/>
    <w:lvl w:ilvl="0" w:tplc="D50A8ED2">
      <w:start w:val="1"/>
      <w:numFmt w:val="bullet"/>
      <w:lvlText w:val=""/>
      <w:lvlJc w:val="left"/>
      <w:pPr>
        <w:tabs>
          <w:tab w:val="num" w:pos="720"/>
        </w:tabs>
        <w:ind w:left="720" w:hanging="360"/>
      </w:pPr>
      <w:rPr>
        <w:rFonts w:ascii="Wingdings 2" w:hAnsi="Wingdings 2" w:hint="default"/>
      </w:rPr>
    </w:lvl>
    <w:lvl w:ilvl="1" w:tplc="BA62F8EC" w:tentative="1">
      <w:start w:val="1"/>
      <w:numFmt w:val="bullet"/>
      <w:lvlText w:val=""/>
      <w:lvlJc w:val="left"/>
      <w:pPr>
        <w:tabs>
          <w:tab w:val="num" w:pos="1440"/>
        </w:tabs>
        <w:ind w:left="1440" w:hanging="360"/>
      </w:pPr>
      <w:rPr>
        <w:rFonts w:ascii="Wingdings 2" w:hAnsi="Wingdings 2" w:hint="default"/>
      </w:rPr>
    </w:lvl>
    <w:lvl w:ilvl="2" w:tplc="2866350C" w:tentative="1">
      <w:start w:val="1"/>
      <w:numFmt w:val="bullet"/>
      <w:lvlText w:val=""/>
      <w:lvlJc w:val="left"/>
      <w:pPr>
        <w:tabs>
          <w:tab w:val="num" w:pos="2160"/>
        </w:tabs>
        <w:ind w:left="2160" w:hanging="360"/>
      </w:pPr>
      <w:rPr>
        <w:rFonts w:ascii="Wingdings 2" w:hAnsi="Wingdings 2" w:hint="default"/>
      </w:rPr>
    </w:lvl>
    <w:lvl w:ilvl="3" w:tplc="7818D4B2" w:tentative="1">
      <w:start w:val="1"/>
      <w:numFmt w:val="bullet"/>
      <w:lvlText w:val=""/>
      <w:lvlJc w:val="left"/>
      <w:pPr>
        <w:tabs>
          <w:tab w:val="num" w:pos="2880"/>
        </w:tabs>
        <w:ind w:left="2880" w:hanging="360"/>
      </w:pPr>
      <w:rPr>
        <w:rFonts w:ascii="Wingdings 2" w:hAnsi="Wingdings 2" w:hint="default"/>
      </w:rPr>
    </w:lvl>
    <w:lvl w:ilvl="4" w:tplc="4590F4E4" w:tentative="1">
      <w:start w:val="1"/>
      <w:numFmt w:val="bullet"/>
      <w:lvlText w:val=""/>
      <w:lvlJc w:val="left"/>
      <w:pPr>
        <w:tabs>
          <w:tab w:val="num" w:pos="3600"/>
        </w:tabs>
        <w:ind w:left="3600" w:hanging="360"/>
      </w:pPr>
      <w:rPr>
        <w:rFonts w:ascii="Wingdings 2" w:hAnsi="Wingdings 2" w:hint="default"/>
      </w:rPr>
    </w:lvl>
    <w:lvl w:ilvl="5" w:tplc="8662F20E" w:tentative="1">
      <w:start w:val="1"/>
      <w:numFmt w:val="bullet"/>
      <w:lvlText w:val=""/>
      <w:lvlJc w:val="left"/>
      <w:pPr>
        <w:tabs>
          <w:tab w:val="num" w:pos="4320"/>
        </w:tabs>
        <w:ind w:left="4320" w:hanging="360"/>
      </w:pPr>
      <w:rPr>
        <w:rFonts w:ascii="Wingdings 2" w:hAnsi="Wingdings 2" w:hint="default"/>
      </w:rPr>
    </w:lvl>
    <w:lvl w:ilvl="6" w:tplc="A28E9C82" w:tentative="1">
      <w:start w:val="1"/>
      <w:numFmt w:val="bullet"/>
      <w:lvlText w:val=""/>
      <w:lvlJc w:val="left"/>
      <w:pPr>
        <w:tabs>
          <w:tab w:val="num" w:pos="5040"/>
        </w:tabs>
        <w:ind w:left="5040" w:hanging="360"/>
      </w:pPr>
      <w:rPr>
        <w:rFonts w:ascii="Wingdings 2" w:hAnsi="Wingdings 2" w:hint="default"/>
      </w:rPr>
    </w:lvl>
    <w:lvl w:ilvl="7" w:tplc="925EACB2" w:tentative="1">
      <w:start w:val="1"/>
      <w:numFmt w:val="bullet"/>
      <w:lvlText w:val=""/>
      <w:lvlJc w:val="left"/>
      <w:pPr>
        <w:tabs>
          <w:tab w:val="num" w:pos="5760"/>
        </w:tabs>
        <w:ind w:left="5760" w:hanging="360"/>
      </w:pPr>
      <w:rPr>
        <w:rFonts w:ascii="Wingdings 2" w:hAnsi="Wingdings 2" w:hint="default"/>
      </w:rPr>
    </w:lvl>
    <w:lvl w:ilvl="8" w:tplc="D2ACC2A6" w:tentative="1">
      <w:start w:val="1"/>
      <w:numFmt w:val="bullet"/>
      <w:lvlText w:val=""/>
      <w:lvlJc w:val="left"/>
      <w:pPr>
        <w:tabs>
          <w:tab w:val="num" w:pos="6480"/>
        </w:tabs>
        <w:ind w:left="6480" w:hanging="360"/>
      </w:pPr>
      <w:rPr>
        <w:rFonts w:ascii="Wingdings 2" w:hAnsi="Wingdings 2" w:hint="default"/>
      </w:rPr>
    </w:lvl>
  </w:abstractNum>
  <w:abstractNum w:abstractNumId="6">
    <w:nsid w:val="1DA31DD1"/>
    <w:multiLevelType w:val="hybridMultilevel"/>
    <w:tmpl w:val="9D241D26"/>
    <w:lvl w:ilvl="0" w:tplc="174C4166">
      <w:start w:val="1"/>
      <w:numFmt w:val="bullet"/>
      <w:lvlText w:val="o"/>
      <w:lvlJc w:val="left"/>
      <w:pPr>
        <w:tabs>
          <w:tab w:val="num" w:pos="-1800"/>
        </w:tabs>
        <w:ind w:left="-1800" w:hanging="360"/>
      </w:pPr>
      <w:rPr>
        <w:rFonts w:ascii="Courier New" w:hAnsi="Courier New" w:hint="default"/>
        <w:color w:val="000000"/>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decimal"/>
      <w:lvlText w:val="%3."/>
      <w:lvlJc w:val="left"/>
      <w:pPr>
        <w:tabs>
          <w:tab w:val="num" w:pos="0"/>
        </w:tabs>
        <w:ind w:hanging="360"/>
      </w:pPr>
      <w:rPr>
        <w:rFonts w:cs="Times New Roman"/>
      </w:rPr>
    </w:lvl>
    <w:lvl w:ilvl="3" w:tplc="04090001">
      <w:start w:val="1"/>
      <w:numFmt w:val="decimal"/>
      <w:lvlText w:val="%4."/>
      <w:lvlJc w:val="left"/>
      <w:pPr>
        <w:tabs>
          <w:tab w:val="num" w:pos="720"/>
        </w:tabs>
        <w:ind w:left="720" w:hanging="360"/>
      </w:pPr>
      <w:rPr>
        <w:rFonts w:cs="Times New Roman"/>
      </w:rPr>
    </w:lvl>
    <w:lvl w:ilvl="4" w:tplc="04090003">
      <w:start w:val="1"/>
      <w:numFmt w:val="decimal"/>
      <w:lvlText w:val="%5."/>
      <w:lvlJc w:val="left"/>
      <w:pPr>
        <w:tabs>
          <w:tab w:val="num" w:pos="1440"/>
        </w:tabs>
        <w:ind w:left="1440" w:hanging="360"/>
      </w:pPr>
      <w:rPr>
        <w:rFonts w:cs="Times New Roman"/>
      </w:rPr>
    </w:lvl>
    <w:lvl w:ilvl="5" w:tplc="04090005">
      <w:start w:val="1"/>
      <w:numFmt w:val="decimal"/>
      <w:lvlText w:val="%6."/>
      <w:lvlJc w:val="left"/>
      <w:pPr>
        <w:tabs>
          <w:tab w:val="num" w:pos="2160"/>
        </w:tabs>
        <w:ind w:left="2160" w:hanging="360"/>
      </w:pPr>
      <w:rPr>
        <w:rFonts w:cs="Times New Roman"/>
      </w:rPr>
    </w:lvl>
    <w:lvl w:ilvl="6" w:tplc="04090001">
      <w:start w:val="1"/>
      <w:numFmt w:val="decimal"/>
      <w:lvlText w:val="%7."/>
      <w:lvlJc w:val="left"/>
      <w:pPr>
        <w:tabs>
          <w:tab w:val="num" w:pos="2880"/>
        </w:tabs>
        <w:ind w:left="2880" w:hanging="360"/>
      </w:pPr>
      <w:rPr>
        <w:rFonts w:cs="Times New Roman"/>
      </w:rPr>
    </w:lvl>
    <w:lvl w:ilvl="7" w:tplc="04090003">
      <w:start w:val="1"/>
      <w:numFmt w:val="decimal"/>
      <w:lvlText w:val="%8."/>
      <w:lvlJc w:val="left"/>
      <w:pPr>
        <w:tabs>
          <w:tab w:val="num" w:pos="3600"/>
        </w:tabs>
        <w:ind w:left="3600" w:hanging="360"/>
      </w:pPr>
      <w:rPr>
        <w:rFonts w:cs="Times New Roman"/>
      </w:rPr>
    </w:lvl>
    <w:lvl w:ilvl="8" w:tplc="04090005">
      <w:start w:val="1"/>
      <w:numFmt w:val="decimal"/>
      <w:lvlText w:val="%9."/>
      <w:lvlJc w:val="left"/>
      <w:pPr>
        <w:tabs>
          <w:tab w:val="num" w:pos="4320"/>
        </w:tabs>
        <w:ind w:left="4320" w:hanging="360"/>
      </w:pPr>
      <w:rPr>
        <w:rFonts w:cs="Times New Roman"/>
      </w:rPr>
    </w:lvl>
  </w:abstractNum>
  <w:abstractNum w:abstractNumId="7">
    <w:nsid w:val="1DF202A4"/>
    <w:multiLevelType w:val="hybridMultilevel"/>
    <w:tmpl w:val="0904175C"/>
    <w:lvl w:ilvl="0" w:tplc="6D68A994">
      <w:start w:val="1"/>
      <w:numFmt w:val="bullet"/>
      <w:lvlText w:val=""/>
      <w:lvlJc w:val="left"/>
      <w:pPr>
        <w:tabs>
          <w:tab w:val="num" w:pos="720"/>
        </w:tabs>
        <w:ind w:left="720" w:hanging="360"/>
      </w:pPr>
      <w:rPr>
        <w:rFonts w:ascii="Wingdings 2" w:hAnsi="Wingdings 2" w:hint="default"/>
      </w:rPr>
    </w:lvl>
    <w:lvl w:ilvl="1" w:tplc="3A346694" w:tentative="1">
      <w:start w:val="1"/>
      <w:numFmt w:val="bullet"/>
      <w:lvlText w:val=""/>
      <w:lvlJc w:val="left"/>
      <w:pPr>
        <w:tabs>
          <w:tab w:val="num" w:pos="1440"/>
        </w:tabs>
        <w:ind w:left="1440" w:hanging="360"/>
      </w:pPr>
      <w:rPr>
        <w:rFonts w:ascii="Wingdings 2" w:hAnsi="Wingdings 2" w:hint="default"/>
      </w:rPr>
    </w:lvl>
    <w:lvl w:ilvl="2" w:tplc="C5C0CA5E" w:tentative="1">
      <w:start w:val="1"/>
      <w:numFmt w:val="bullet"/>
      <w:lvlText w:val=""/>
      <w:lvlJc w:val="left"/>
      <w:pPr>
        <w:tabs>
          <w:tab w:val="num" w:pos="2160"/>
        </w:tabs>
        <w:ind w:left="2160" w:hanging="360"/>
      </w:pPr>
      <w:rPr>
        <w:rFonts w:ascii="Wingdings 2" w:hAnsi="Wingdings 2" w:hint="default"/>
      </w:rPr>
    </w:lvl>
    <w:lvl w:ilvl="3" w:tplc="15388CB6" w:tentative="1">
      <w:start w:val="1"/>
      <w:numFmt w:val="bullet"/>
      <w:lvlText w:val=""/>
      <w:lvlJc w:val="left"/>
      <w:pPr>
        <w:tabs>
          <w:tab w:val="num" w:pos="2880"/>
        </w:tabs>
        <w:ind w:left="2880" w:hanging="360"/>
      </w:pPr>
      <w:rPr>
        <w:rFonts w:ascii="Wingdings 2" w:hAnsi="Wingdings 2" w:hint="default"/>
      </w:rPr>
    </w:lvl>
    <w:lvl w:ilvl="4" w:tplc="A81CBDEE" w:tentative="1">
      <w:start w:val="1"/>
      <w:numFmt w:val="bullet"/>
      <w:lvlText w:val=""/>
      <w:lvlJc w:val="left"/>
      <w:pPr>
        <w:tabs>
          <w:tab w:val="num" w:pos="3600"/>
        </w:tabs>
        <w:ind w:left="3600" w:hanging="360"/>
      </w:pPr>
      <w:rPr>
        <w:rFonts w:ascii="Wingdings 2" w:hAnsi="Wingdings 2" w:hint="default"/>
      </w:rPr>
    </w:lvl>
    <w:lvl w:ilvl="5" w:tplc="F9C6C5E4" w:tentative="1">
      <w:start w:val="1"/>
      <w:numFmt w:val="bullet"/>
      <w:lvlText w:val=""/>
      <w:lvlJc w:val="left"/>
      <w:pPr>
        <w:tabs>
          <w:tab w:val="num" w:pos="4320"/>
        </w:tabs>
        <w:ind w:left="4320" w:hanging="360"/>
      </w:pPr>
      <w:rPr>
        <w:rFonts w:ascii="Wingdings 2" w:hAnsi="Wingdings 2" w:hint="default"/>
      </w:rPr>
    </w:lvl>
    <w:lvl w:ilvl="6" w:tplc="406E1666" w:tentative="1">
      <w:start w:val="1"/>
      <w:numFmt w:val="bullet"/>
      <w:lvlText w:val=""/>
      <w:lvlJc w:val="left"/>
      <w:pPr>
        <w:tabs>
          <w:tab w:val="num" w:pos="5040"/>
        </w:tabs>
        <w:ind w:left="5040" w:hanging="360"/>
      </w:pPr>
      <w:rPr>
        <w:rFonts w:ascii="Wingdings 2" w:hAnsi="Wingdings 2" w:hint="default"/>
      </w:rPr>
    </w:lvl>
    <w:lvl w:ilvl="7" w:tplc="C97296E4" w:tentative="1">
      <w:start w:val="1"/>
      <w:numFmt w:val="bullet"/>
      <w:lvlText w:val=""/>
      <w:lvlJc w:val="left"/>
      <w:pPr>
        <w:tabs>
          <w:tab w:val="num" w:pos="5760"/>
        </w:tabs>
        <w:ind w:left="5760" w:hanging="360"/>
      </w:pPr>
      <w:rPr>
        <w:rFonts w:ascii="Wingdings 2" w:hAnsi="Wingdings 2" w:hint="default"/>
      </w:rPr>
    </w:lvl>
    <w:lvl w:ilvl="8" w:tplc="4D0C349A" w:tentative="1">
      <w:start w:val="1"/>
      <w:numFmt w:val="bullet"/>
      <w:lvlText w:val=""/>
      <w:lvlJc w:val="left"/>
      <w:pPr>
        <w:tabs>
          <w:tab w:val="num" w:pos="6480"/>
        </w:tabs>
        <w:ind w:left="6480" w:hanging="360"/>
      </w:pPr>
      <w:rPr>
        <w:rFonts w:ascii="Wingdings 2" w:hAnsi="Wingdings 2" w:hint="default"/>
      </w:rPr>
    </w:lvl>
  </w:abstractNum>
  <w:abstractNum w:abstractNumId="8">
    <w:nsid w:val="2B494125"/>
    <w:multiLevelType w:val="hybridMultilevel"/>
    <w:tmpl w:val="E18C64C2"/>
    <w:lvl w:ilvl="0" w:tplc="0AFA81D0">
      <w:start w:val="216"/>
      <w:numFmt w:val="bullet"/>
      <w:lvlText w:val="•"/>
      <w:lvlJc w:val="left"/>
      <w:pPr>
        <w:ind w:left="360" w:hanging="360"/>
      </w:pPr>
      <w:rPr>
        <w:rFonts w:ascii="Arial" w:hAnsi="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646B10"/>
    <w:multiLevelType w:val="hybridMultilevel"/>
    <w:tmpl w:val="1F88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D81F67"/>
    <w:multiLevelType w:val="hybridMultilevel"/>
    <w:tmpl w:val="DBB6852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1">
    <w:nsid w:val="4B787C48"/>
    <w:multiLevelType w:val="hybridMultilevel"/>
    <w:tmpl w:val="56F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354D5"/>
    <w:multiLevelType w:val="hybridMultilevel"/>
    <w:tmpl w:val="FEEEBDEA"/>
    <w:lvl w:ilvl="0" w:tplc="4B4270F8">
      <w:numFmt w:val="bullet"/>
      <w:lvlText w:val=""/>
      <w:lvlJc w:val="left"/>
      <w:pPr>
        <w:tabs>
          <w:tab w:val="num" w:pos="360"/>
        </w:tabs>
        <w:ind w:left="360" w:hanging="360"/>
      </w:pPr>
      <w:rPr>
        <w:rFonts w:ascii="Wingdings" w:eastAsia="Times New Roman" w:hAnsi="Wingdings" w:hint="default"/>
        <w:color w:val="000000"/>
        <w:sz w:val="1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59D228AF"/>
    <w:multiLevelType w:val="hybridMultilevel"/>
    <w:tmpl w:val="1098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B31D9F"/>
    <w:multiLevelType w:val="hybridMultilevel"/>
    <w:tmpl w:val="B25E4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8137AC"/>
    <w:multiLevelType w:val="hybridMultilevel"/>
    <w:tmpl w:val="BCC0BF1E"/>
    <w:lvl w:ilvl="0" w:tplc="4B4270F8">
      <w:numFmt w:val="bullet"/>
      <w:lvlText w:val=""/>
      <w:lvlJc w:val="left"/>
      <w:pPr>
        <w:ind w:left="360" w:hanging="360"/>
      </w:pPr>
      <w:rPr>
        <w:rFonts w:ascii="Wingdings" w:eastAsia="Times New Roman" w:hAnsi="Wingdings" w:hint="default"/>
        <w:color w:val="000000"/>
        <w:sz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4"/>
  </w:num>
  <w:num w:numId="6">
    <w:abstractNumId w:val="1"/>
  </w:num>
  <w:num w:numId="7">
    <w:abstractNumId w:val="15"/>
  </w:num>
  <w:num w:numId="8">
    <w:abstractNumId w:val="0"/>
  </w:num>
  <w:num w:numId="9">
    <w:abstractNumId w:val="2"/>
  </w:num>
  <w:num w:numId="10">
    <w:abstractNumId w:val="10"/>
  </w:num>
  <w:num w:numId="11">
    <w:abstractNumId w:val="6"/>
  </w:num>
  <w:num w:numId="12">
    <w:abstractNumId w:val="3"/>
  </w:num>
  <w:num w:numId="13">
    <w:abstractNumId w:val="9"/>
  </w:num>
  <w:num w:numId="14">
    <w:abstractNumId w:val="5"/>
  </w:num>
  <w:num w:numId="15">
    <w:abstractNumId w:val="8"/>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docVars>
    <w:docVar w:name="APWAFVersion" w:val="5.0"/>
  </w:docVars>
  <w:rsids>
    <w:rsidRoot w:val="00F9773E"/>
    <w:rsid w:val="00007216"/>
    <w:rsid w:val="000179CD"/>
    <w:rsid w:val="00023C14"/>
    <w:rsid w:val="000271A9"/>
    <w:rsid w:val="00027A6A"/>
    <w:rsid w:val="00030807"/>
    <w:rsid w:val="0003722C"/>
    <w:rsid w:val="00057B9C"/>
    <w:rsid w:val="00064D4D"/>
    <w:rsid w:val="00067FAB"/>
    <w:rsid w:val="000954A3"/>
    <w:rsid w:val="000A1509"/>
    <w:rsid w:val="000A61FD"/>
    <w:rsid w:val="000D2F32"/>
    <w:rsid w:val="000D6FD0"/>
    <w:rsid w:val="00131E80"/>
    <w:rsid w:val="00132915"/>
    <w:rsid w:val="001373FC"/>
    <w:rsid w:val="00144527"/>
    <w:rsid w:val="001469EA"/>
    <w:rsid w:val="00165005"/>
    <w:rsid w:val="001803D7"/>
    <w:rsid w:val="001901E9"/>
    <w:rsid w:val="001C625E"/>
    <w:rsid w:val="001D7916"/>
    <w:rsid w:val="002029BE"/>
    <w:rsid w:val="00205458"/>
    <w:rsid w:val="002154C6"/>
    <w:rsid w:val="002323AA"/>
    <w:rsid w:val="002328D1"/>
    <w:rsid w:val="00243B10"/>
    <w:rsid w:val="00245D1D"/>
    <w:rsid w:val="002702B7"/>
    <w:rsid w:val="00285028"/>
    <w:rsid w:val="002A6A30"/>
    <w:rsid w:val="002C2E2C"/>
    <w:rsid w:val="002C32A3"/>
    <w:rsid w:val="002C669D"/>
    <w:rsid w:val="002C6C78"/>
    <w:rsid w:val="002C7215"/>
    <w:rsid w:val="002D7E5B"/>
    <w:rsid w:val="002E2E54"/>
    <w:rsid w:val="002F362E"/>
    <w:rsid w:val="002F4FD2"/>
    <w:rsid w:val="00305161"/>
    <w:rsid w:val="00314BC5"/>
    <w:rsid w:val="00323993"/>
    <w:rsid w:val="003314B0"/>
    <w:rsid w:val="003362DD"/>
    <w:rsid w:val="00336FD5"/>
    <w:rsid w:val="00346777"/>
    <w:rsid w:val="00347126"/>
    <w:rsid w:val="00350B56"/>
    <w:rsid w:val="00357A1A"/>
    <w:rsid w:val="003657E5"/>
    <w:rsid w:val="003A2BA4"/>
    <w:rsid w:val="003A2D6A"/>
    <w:rsid w:val="003B1326"/>
    <w:rsid w:val="003B7436"/>
    <w:rsid w:val="003C64CA"/>
    <w:rsid w:val="003D0530"/>
    <w:rsid w:val="003E5B3F"/>
    <w:rsid w:val="003F56F1"/>
    <w:rsid w:val="00404D4B"/>
    <w:rsid w:val="0043332C"/>
    <w:rsid w:val="004434F6"/>
    <w:rsid w:val="004603F1"/>
    <w:rsid w:val="00461EF2"/>
    <w:rsid w:val="004647D0"/>
    <w:rsid w:val="004863EB"/>
    <w:rsid w:val="00492894"/>
    <w:rsid w:val="0049499C"/>
    <w:rsid w:val="004A4F69"/>
    <w:rsid w:val="004B03F7"/>
    <w:rsid w:val="004C67CF"/>
    <w:rsid w:val="00500E9A"/>
    <w:rsid w:val="005034D6"/>
    <w:rsid w:val="00503CC3"/>
    <w:rsid w:val="005646F9"/>
    <w:rsid w:val="005651F4"/>
    <w:rsid w:val="005675B2"/>
    <w:rsid w:val="00583CB0"/>
    <w:rsid w:val="005B2998"/>
    <w:rsid w:val="005B3803"/>
    <w:rsid w:val="005C3A07"/>
    <w:rsid w:val="005F2515"/>
    <w:rsid w:val="005F5DF9"/>
    <w:rsid w:val="00605827"/>
    <w:rsid w:val="00632C63"/>
    <w:rsid w:val="00643E8D"/>
    <w:rsid w:val="006523FC"/>
    <w:rsid w:val="00676EFB"/>
    <w:rsid w:val="006837CF"/>
    <w:rsid w:val="00687992"/>
    <w:rsid w:val="006A107C"/>
    <w:rsid w:val="006B07FF"/>
    <w:rsid w:val="006B2620"/>
    <w:rsid w:val="006D661A"/>
    <w:rsid w:val="006E0DA9"/>
    <w:rsid w:val="006E13AA"/>
    <w:rsid w:val="0073389A"/>
    <w:rsid w:val="007473D9"/>
    <w:rsid w:val="00765D3C"/>
    <w:rsid w:val="007706B9"/>
    <w:rsid w:val="007713DB"/>
    <w:rsid w:val="00771EBC"/>
    <w:rsid w:val="00797909"/>
    <w:rsid w:val="007A02D2"/>
    <w:rsid w:val="007E622A"/>
    <w:rsid w:val="007F0D92"/>
    <w:rsid w:val="00820144"/>
    <w:rsid w:val="00827CF5"/>
    <w:rsid w:val="00842C6F"/>
    <w:rsid w:val="008467D6"/>
    <w:rsid w:val="0088046D"/>
    <w:rsid w:val="00882138"/>
    <w:rsid w:val="00886787"/>
    <w:rsid w:val="0088779F"/>
    <w:rsid w:val="00893E9D"/>
    <w:rsid w:val="008D204F"/>
    <w:rsid w:val="008D63ED"/>
    <w:rsid w:val="008E22D3"/>
    <w:rsid w:val="008F75FE"/>
    <w:rsid w:val="009220DB"/>
    <w:rsid w:val="00924D89"/>
    <w:rsid w:val="0093407A"/>
    <w:rsid w:val="00937A1B"/>
    <w:rsid w:val="00944968"/>
    <w:rsid w:val="009451C2"/>
    <w:rsid w:val="0095398A"/>
    <w:rsid w:val="009665AD"/>
    <w:rsid w:val="00967B46"/>
    <w:rsid w:val="00974AF0"/>
    <w:rsid w:val="00976101"/>
    <w:rsid w:val="00977900"/>
    <w:rsid w:val="00984223"/>
    <w:rsid w:val="009973B2"/>
    <w:rsid w:val="009A4EA2"/>
    <w:rsid w:val="009A60D8"/>
    <w:rsid w:val="009B62C3"/>
    <w:rsid w:val="009C3DE2"/>
    <w:rsid w:val="009C4AA7"/>
    <w:rsid w:val="009E4980"/>
    <w:rsid w:val="009F6861"/>
    <w:rsid w:val="00A0024A"/>
    <w:rsid w:val="00A2577E"/>
    <w:rsid w:val="00A54D0D"/>
    <w:rsid w:val="00A615EF"/>
    <w:rsid w:val="00A84EB3"/>
    <w:rsid w:val="00A868C8"/>
    <w:rsid w:val="00AA0AEB"/>
    <w:rsid w:val="00AA1D3B"/>
    <w:rsid w:val="00AC04F6"/>
    <w:rsid w:val="00AC2C3F"/>
    <w:rsid w:val="00B06E31"/>
    <w:rsid w:val="00B10853"/>
    <w:rsid w:val="00B10904"/>
    <w:rsid w:val="00B13F0C"/>
    <w:rsid w:val="00B27676"/>
    <w:rsid w:val="00B30E2B"/>
    <w:rsid w:val="00B45F87"/>
    <w:rsid w:val="00B5156D"/>
    <w:rsid w:val="00B54173"/>
    <w:rsid w:val="00B57C1E"/>
    <w:rsid w:val="00B67B3A"/>
    <w:rsid w:val="00B8521B"/>
    <w:rsid w:val="00BA447E"/>
    <w:rsid w:val="00BA65AE"/>
    <w:rsid w:val="00BB24C3"/>
    <w:rsid w:val="00BB648E"/>
    <w:rsid w:val="00BB6F85"/>
    <w:rsid w:val="00BD2AD0"/>
    <w:rsid w:val="00BD5B48"/>
    <w:rsid w:val="00BF57CC"/>
    <w:rsid w:val="00C11F96"/>
    <w:rsid w:val="00C14B85"/>
    <w:rsid w:val="00C258ED"/>
    <w:rsid w:val="00C363E4"/>
    <w:rsid w:val="00C52946"/>
    <w:rsid w:val="00C810C9"/>
    <w:rsid w:val="00C96D9E"/>
    <w:rsid w:val="00D04B65"/>
    <w:rsid w:val="00D07100"/>
    <w:rsid w:val="00D360CD"/>
    <w:rsid w:val="00D45445"/>
    <w:rsid w:val="00D52CBF"/>
    <w:rsid w:val="00D70DB2"/>
    <w:rsid w:val="00D714F5"/>
    <w:rsid w:val="00D85496"/>
    <w:rsid w:val="00D87A82"/>
    <w:rsid w:val="00DB09FF"/>
    <w:rsid w:val="00DB15F1"/>
    <w:rsid w:val="00DC060F"/>
    <w:rsid w:val="00DC590B"/>
    <w:rsid w:val="00DD1A69"/>
    <w:rsid w:val="00DF1E37"/>
    <w:rsid w:val="00E00DC9"/>
    <w:rsid w:val="00E073BB"/>
    <w:rsid w:val="00E07B26"/>
    <w:rsid w:val="00E148D6"/>
    <w:rsid w:val="00E14C15"/>
    <w:rsid w:val="00E16319"/>
    <w:rsid w:val="00E2793C"/>
    <w:rsid w:val="00E33365"/>
    <w:rsid w:val="00E33612"/>
    <w:rsid w:val="00E93A54"/>
    <w:rsid w:val="00EA4CD1"/>
    <w:rsid w:val="00EB45E5"/>
    <w:rsid w:val="00EB55B3"/>
    <w:rsid w:val="00EC447C"/>
    <w:rsid w:val="00ED0D22"/>
    <w:rsid w:val="00EF0E40"/>
    <w:rsid w:val="00F12456"/>
    <w:rsid w:val="00F32197"/>
    <w:rsid w:val="00F45516"/>
    <w:rsid w:val="00F5526B"/>
    <w:rsid w:val="00F914EF"/>
    <w:rsid w:val="00F931C2"/>
    <w:rsid w:val="00F9499E"/>
    <w:rsid w:val="00F9773E"/>
    <w:rsid w:val="00FA21FC"/>
    <w:rsid w:val="00FA6556"/>
    <w:rsid w:val="00FE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3E"/>
    <w:rPr>
      <w:rFonts w:ascii="Times New Roman" w:eastAsia="Times New Roman" w:hAnsi="Times New Roman"/>
      <w:sz w:val="20"/>
      <w:szCs w:val="20"/>
    </w:rPr>
  </w:style>
  <w:style w:type="paragraph" w:styleId="Heading4">
    <w:name w:val="heading 4"/>
    <w:basedOn w:val="Normal"/>
    <w:next w:val="Normal"/>
    <w:link w:val="Heading4Char"/>
    <w:uiPriority w:val="99"/>
    <w:qFormat/>
    <w:rsid w:val="00F9773E"/>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9773E"/>
    <w:rPr>
      <w:rFonts w:ascii="Arial" w:hAnsi="Arial" w:cs="Arial"/>
      <w:b/>
      <w:bCs/>
      <w:sz w:val="20"/>
      <w:szCs w:val="20"/>
    </w:rPr>
  </w:style>
  <w:style w:type="paragraph" w:styleId="BodyText">
    <w:name w:val="Body Text"/>
    <w:basedOn w:val="Normal"/>
    <w:link w:val="BodyTextChar"/>
    <w:uiPriority w:val="99"/>
    <w:rsid w:val="00F9773E"/>
    <w:pPr>
      <w:autoSpaceDE w:val="0"/>
      <w:autoSpaceDN w:val="0"/>
      <w:adjustRightInd w:val="0"/>
    </w:pPr>
    <w:rPr>
      <w:rFonts w:ascii="Arial" w:hAnsi="Arial" w:cs="Arial"/>
      <w:sz w:val="24"/>
    </w:rPr>
  </w:style>
  <w:style w:type="character" w:customStyle="1" w:styleId="BodyTextChar">
    <w:name w:val="Body Text Char"/>
    <w:basedOn w:val="DefaultParagraphFont"/>
    <w:link w:val="BodyText"/>
    <w:uiPriority w:val="99"/>
    <w:locked/>
    <w:rsid w:val="00F9773E"/>
    <w:rPr>
      <w:rFonts w:ascii="Arial" w:hAnsi="Arial" w:cs="Arial"/>
      <w:sz w:val="20"/>
      <w:szCs w:val="20"/>
    </w:rPr>
  </w:style>
  <w:style w:type="paragraph" w:styleId="ListParagraph">
    <w:name w:val="List Paragraph"/>
    <w:basedOn w:val="Normal"/>
    <w:uiPriority w:val="99"/>
    <w:qFormat/>
    <w:rsid w:val="00F9773E"/>
    <w:pPr>
      <w:ind w:left="720"/>
    </w:pPr>
  </w:style>
  <w:style w:type="paragraph" w:styleId="Header">
    <w:name w:val="header"/>
    <w:basedOn w:val="Normal"/>
    <w:link w:val="HeaderChar"/>
    <w:uiPriority w:val="99"/>
    <w:semiHidden/>
    <w:rsid w:val="007473D9"/>
    <w:pPr>
      <w:tabs>
        <w:tab w:val="center" w:pos="4680"/>
        <w:tab w:val="right" w:pos="9360"/>
      </w:tabs>
    </w:pPr>
  </w:style>
  <w:style w:type="character" w:customStyle="1" w:styleId="HeaderChar">
    <w:name w:val="Header Char"/>
    <w:basedOn w:val="DefaultParagraphFont"/>
    <w:link w:val="Header"/>
    <w:uiPriority w:val="99"/>
    <w:semiHidden/>
    <w:locked/>
    <w:rsid w:val="007473D9"/>
    <w:rPr>
      <w:rFonts w:ascii="Times New Roman" w:hAnsi="Times New Roman" w:cs="Times New Roman"/>
    </w:rPr>
  </w:style>
  <w:style w:type="paragraph" w:styleId="Footer">
    <w:name w:val="footer"/>
    <w:basedOn w:val="Normal"/>
    <w:link w:val="FooterChar"/>
    <w:uiPriority w:val="99"/>
    <w:semiHidden/>
    <w:rsid w:val="007473D9"/>
    <w:pPr>
      <w:tabs>
        <w:tab w:val="center" w:pos="4680"/>
        <w:tab w:val="right" w:pos="9360"/>
      </w:tabs>
    </w:pPr>
  </w:style>
  <w:style w:type="character" w:customStyle="1" w:styleId="FooterChar">
    <w:name w:val="Footer Char"/>
    <w:basedOn w:val="DefaultParagraphFont"/>
    <w:link w:val="Footer"/>
    <w:uiPriority w:val="99"/>
    <w:semiHidden/>
    <w:locked/>
    <w:rsid w:val="007473D9"/>
    <w:rPr>
      <w:rFonts w:ascii="Times New Roman" w:hAnsi="Times New Roman" w:cs="Times New Roman"/>
    </w:rPr>
  </w:style>
  <w:style w:type="paragraph" w:styleId="BodyText2">
    <w:name w:val="Body Text 2"/>
    <w:basedOn w:val="Normal"/>
    <w:link w:val="BodyText2Char"/>
    <w:uiPriority w:val="99"/>
    <w:semiHidden/>
    <w:rsid w:val="00D04B65"/>
    <w:pPr>
      <w:spacing w:after="120" w:line="480" w:lineRule="auto"/>
    </w:pPr>
  </w:style>
  <w:style w:type="character" w:customStyle="1" w:styleId="BodyText2Char">
    <w:name w:val="Body Text 2 Char"/>
    <w:basedOn w:val="DefaultParagraphFont"/>
    <w:link w:val="BodyText2"/>
    <w:uiPriority w:val="99"/>
    <w:semiHidden/>
    <w:locked/>
    <w:rsid w:val="00D04B65"/>
    <w:rPr>
      <w:rFonts w:ascii="Times New Roman" w:hAnsi="Times New Roman" w:cs="Times New Roman"/>
    </w:rPr>
  </w:style>
  <w:style w:type="paragraph" w:styleId="BalloonText">
    <w:name w:val="Balloon Text"/>
    <w:basedOn w:val="Normal"/>
    <w:link w:val="BalloonTextChar"/>
    <w:uiPriority w:val="99"/>
    <w:semiHidden/>
    <w:rsid w:val="00DB15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861"/>
    <w:rPr>
      <w:rFonts w:ascii="Times New Roman" w:hAnsi="Times New Roman" w:cs="Times New Roman"/>
      <w:sz w:val="2"/>
    </w:rPr>
  </w:style>
  <w:style w:type="paragraph" w:customStyle="1" w:styleId="Default">
    <w:name w:val="Default"/>
    <w:uiPriority w:val="99"/>
    <w:rsid w:val="007F0D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87A82"/>
    <w:rPr>
      <w:rFonts w:cs="Times New Roman"/>
      <w:color w:val="0000FF"/>
      <w:u w:val="single"/>
    </w:rPr>
  </w:style>
  <w:style w:type="paragraph" w:styleId="PlainText">
    <w:name w:val="Plain Text"/>
    <w:basedOn w:val="Normal"/>
    <w:link w:val="PlainTextChar"/>
    <w:uiPriority w:val="99"/>
    <w:rsid w:val="00D87A82"/>
    <w:rPr>
      <w:rFonts w:ascii="Arial" w:eastAsia="Calibri" w:hAnsi="Arial" w:cs="Arial"/>
      <w:color w:val="000000"/>
    </w:rPr>
  </w:style>
  <w:style w:type="character" w:customStyle="1" w:styleId="PlainTextChar">
    <w:name w:val="Plain Text Char"/>
    <w:basedOn w:val="DefaultParagraphFont"/>
    <w:link w:val="PlainText"/>
    <w:uiPriority w:val="99"/>
    <w:locked/>
    <w:rsid w:val="00D87A82"/>
    <w:rPr>
      <w:rFonts w:ascii="Arial" w:hAnsi="Arial" w:cs="Arial"/>
      <w:color w:val="000000"/>
    </w:rPr>
  </w:style>
  <w:style w:type="paragraph" w:styleId="DocumentMap">
    <w:name w:val="Document Map"/>
    <w:basedOn w:val="Normal"/>
    <w:link w:val="DocumentMapChar"/>
    <w:uiPriority w:val="99"/>
    <w:semiHidden/>
    <w:rsid w:val="009E498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23C1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800763814">
      <w:marLeft w:val="0"/>
      <w:marRight w:val="0"/>
      <w:marTop w:val="0"/>
      <w:marBottom w:val="0"/>
      <w:divBdr>
        <w:top w:val="none" w:sz="0" w:space="0" w:color="auto"/>
        <w:left w:val="none" w:sz="0" w:space="0" w:color="auto"/>
        <w:bottom w:val="none" w:sz="0" w:space="0" w:color="auto"/>
        <w:right w:val="none" w:sz="0" w:space="0" w:color="auto"/>
      </w:divBdr>
    </w:div>
    <w:div w:id="1800763815">
      <w:marLeft w:val="0"/>
      <w:marRight w:val="0"/>
      <w:marTop w:val="0"/>
      <w:marBottom w:val="0"/>
      <w:divBdr>
        <w:top w:val="none" w:sz="0" w:space="0" w:color="auto"/>
        <w:left w:val="none" w:sz="0" w:space="0" w:color="auto"/>
        <w:bottom w:val="none" w:sz="0" w:space="0" w:color="auto"/>
        <w:right w:val="none" w:sz="0" w:space="0" w:color="auto"/>
      </w:divBdr>
    </w:div>
    <w:div w:id="1800763817">
      <w:marLeft w:val="0"/>
      <w:marRight w:val="0"/>
      <w:marTop w:val="0"/>
      <w:marBottom w:val="0"/>
      <w:divBdr>
        <w:top w:val="none" w:sz="0" w:space="0" w:color="auto"/>
        <w:left w:val="none" w:sz="0" w:space="0" w:color="auto"/>
        <w:bottom w:val="none" w:sz="0" w:space="0" w:color="auto"/>
        <w:right w:val="none" w:sz="0" w:space="0" w:color="auto"/>
      </w:divBdr>
    </w:div>
    <w:div w:id="1800763819">
      <w:marLeft w:val="0"/>
      <w:marRight w:val="0"/>
      <w:marTop w:val="0"/>
      <w:marBottom w:val="0"/>
      <w:divBdr>
        <w:top w:val="none" w:sz="0" w:space="0" w:color="auto"/>
        <w:left w:val="none" w:sz="0" w:space="0" w:color="auto"/>
        <w:bottom w:val="none" w:sz="0" w:space="0" w:color="auto"/>
        <w:right w:val="none" w:sz="0" w:space="0" w:color="auto"/>
      </w:divBdr>
      <w:divsChild>
        <w:div w:id="1800763828">
          <w:marLeft w:val="274"/>
          <w:marRight w:val="0"/>
          <w:marTop w:val="19"/>
          <w:marBottom w:val="0"/>
          <w:divBdr>
            <w:top w:val="none" w:sz="0" w:space="0" w:color="auto"/>
            <w:left w:val="none" w:sz="0" w:space="0" w:color="auto"/>
            <w:bottom w:val="none" w:sz="0" w:space="0" w:color="auto"/>
            <w:right w:val="none" w:sz="0" w:space="0" w:color="auto"/>
          </w:divBdr>
        </w:div>
      </w:divsChild>
    </w:div>
    <w:div w:id="1800763820">
      <w:marLeft w:val="0"/>
      <w:marRight w:val="0"/>
      <w:marTop w:val="0"/>
      <w:marBottom w:val="0"/>
      <w:divBdr>
        <w:top w:val="none" w:sz="0" w:space="0" w:color="auto"/>
        <w:left w:val="none" w:sz="0" w:space="0" w:color="auto"/>
        <w:bottom w:val="none" w:sz="0" w:space="0" w:color="auto"/>
        <w:right w:val="none" w:sz="0" w:space="0" w:color="auto"/>
      </w:divBdr>
    </w:div>
    <w:div w:id="1800763821">
      <w:marLeft w:val="0"/>
      <w:marRight w:val="0"/>
      <w:marTop w:val="0"/>
      <w:marBottom w:val="0"/>
      <w:divBdr>
        <w:top w:val="none" w:sz="0" w:space="0" w:color="auto"/>
        <w:left w:val="none" w:sz="0" w:space="0" w:color="auto"/>
        <w:bottom w:val="none" w:sz="0" w:space="0" w:color="auto"/>
        <w:right w:val="none" w:sz="0" w:space="0" w:color="auto"/>
      </w:divBdr>
    </w:div>
    <w:div w:id="1800763824">
      <w:marLeft w:val="0"/>
      <w:marRight w:val="0"/>
      <w:marTop w:val="0"/>
      <w:marBottom w:val="0"/>
      <w:divBdr>
        <w:top w:val="none" w:sz="0" w:space="0" w:color="auto"/>
        <w:left w:val="none" w:sz="0" w:space="0" w:color="auto"/>
        <w:bottom w:val="none" w:sz="0" w:space="0" w:color="auto"/>
        <w:right w:val="none" w:sz="0" w:space="0" w:color="auto"/>
      </w:divBdr>
    </w:div>
    <w:div w:id="1800763825">
      <w:marLeft w:val="0"/>
      <w:marRight w:val="0"/>
      <w:marTop w:val="0"/>
      <w:marBottom w:val="0"/>
      <w:divBdr>
        <w:top w:val="none" w:sz="0" w:space="0" w:color="auto"/>
        <w:left w:val="none" w:sz="0" w:space="0" w:color="auto"/>
        <w:bottom w:val="none" w:sz="0" w:space="0" w:color="auto"/>
        <w:right w:val="none" w:sz="0" w:space="0" w:color="auto"/>
      </w:divBdr>
    </w:div>
    <w:div w:id="1800763826">
      <w:marLeft w:val="0"/>
      <w:marRight w:val="0"/>
      <w:marTop w:val="0"/>
      <w:marBottom w:val="0"/>
      <w:divBdr>
        <w:top w:val="none" w:sz="0" w:space="0" w:color="auto"/>
        <w:left w:val="none" w:sz="0" w:space="0" w:color="auto"/>
        <w:bottom w:val="none" w:sz="0" w:space="0" w:color="auto"/>
        <w:right w:val="none" w:sz="0" w:space="0" w:color="auto"/>
      </w:divBdr>
    </w:div>
    <w:div w:id="1800763827">
      <w:marLeft w:val="0"/>
      <w:marRight w:val="0"/>
      <w:marTop w:val="0"/>
      <w:marBottom w:val="0"/>
      <w:divBdr>
        <w:top w:val="none" w:sz="0" w:space="0" w:color="auto"/>
        <w:left w:val="none" w:sz="0" w:space="0" w:color="auto"/>
        <w:bottom w:val="none" w:sz="0" w:space="0" w:color="auto"/>
        <w:right w:val="none" w:sz="0" w:space="0" w:color="auto"/>
      </w:divBdr>
      <w:divsChild>
        <w:div w:id="1800763816">
          <w:marLeft w:val="432"/>
          <w:marRight w:val="0"/>
          <w:marTop w:val="115"/>
          <w:marBottom w:val="0"/>
          <w:divBdr>
            <w:top w:val="none" w:sz="0" w:space="0" w:color="auto"/>
            <w:left w:val="none" w:sz="0" w:space="0" w:color="auto"/>
            <w:bottom w:val="none" w:sz="0" w:space="0" w:color="auto"/>
            <w:right w:val="none" w:sz="0" w:space="0" w:color="auto"/>
          </w:divBdr>
        </w:div>
        <w:div w:id="1800763818">
          <w:marLeft w:val="432"/>
          <w:marRight w:val="0"/>
          <w:marTop w:val="115"/>
          <w:marBottom w:val="0"/>
          <w:divBdr>
            <w:top w:val="none" w:sz="0" w:space="0" w:color="auto"/>
            <w:left w:val="none" w:sz="0" w:space="0" w:color="auto"/>
            <w:bottom w:val="none" w:sz="0" w:space="0" w:color="auto"/>
            <w:right w:val="none" w:sz="0" w:space="0" w:color="auto"/>
          </w:divBdr>
        </w:div>
        <w:div w:id="1800763822">
          <w:marLeft w:val="432"/>
          <w:marRight w:val="0"/>
          <w:marTop w:val="115"/>
          <w:marBottom w:val="0"/>
          <w:divBdr>
            <w:top w:val="none" w:sz="0" w:space="0" w:color="auto"/>
            <w:left w:val="none" w:sz="0" w:space="0" w:color="auto"/>
            <w:bottom w:val="none" w:sz="0" w:space="0" w:color="auto"/>
            <w:right w:val="none" w:sz="0" w:space="0" w:color="auto"/>
          </w:divBdr>
        </w:div>
        <w:div w:id="180076382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citibank.co.in/press-room/citi-in-india.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basis.ghosh@ci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1003</Words>
  <Characters>5723</Characters>
  <Application>Microsoft Office Word</Application>
  <DocSecurity>0</DocSecurity>
  <Lines>47</Lines>
  <Paragraphs>13</Paragraphs>
  <ScaleCrop>false</ScaleCrop>
  <Company>Citigroup</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 India reports Earnings for the Year Ended March 31, 2011</dc:title>
  <dc:subject/>
  <dc:creator>md61342</dc:creator>
  <cp:keywords/>
  <dc:description/>
  <cp:lastModifiedBy>pa52283</cp:lastModifiedBy>
  <cp:revision>8</cp:revision>
  <cp:lastPrinted>2012-07-03T09:12:00Z</cp:lastPrinted>
  <dcterms:created xsi:type="dcterms:W3CDTF">2012-07-03T08:59:00Z</dcterms:created>
  <dcterms:modified xsi:type="dcterms:W3CDTF">2012-07-03T09:12:00Z</dcterms:modified>
</cp:coreProperties>
</file>